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потребительской сферы администрации муниципального образования Новокубанский район</w:t>
            </w:r>
          </w:p>
          <w:p w:rsidR="003B5716" w:rsidRDefault="00836682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Е.В.Дятловой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Pr="008F05B1" w:rsidRDefault="00F87078" w:rsidP="00083B98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решения Совета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ноября 2017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279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едином налоге на вменяемый доход для отдельных видов деятельности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район»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08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Новокубанский район от 23 ноября 2017 года № 279 «О едином налоге на вменяемый доход для отдельных видов деятельности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  <w:proofErr w:type="gramEnd"/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2015 года №667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83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полугодие 201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2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902F2A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F8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 22.04.201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87078" w:rsidRPr="008F05B1" w:rsidRDefault="00F87078" w:rsidP="008F05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</w:p>
        </w:tc>
      </w:tr>
      <w:tr w:rsidR="00902F2A" w:rsidRPr="008F05B1" w:rsidTr="00136BEC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2A" w:rsidRDefault="00902F2A" w:rsidP="0013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</w:t>
            </w:r>
            <w:r w:rsidR="00836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36BEC" w:rsidRPr="008F05B1" w:rsidRDefault="00136BEC" w:rsidP="00136BEC">
            <w:pPr>
              <w:tabs>
                <w:tab w:val="left" w:pos="27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B98" w:rsidRPr="00083B98">
              <w:rPr>
                <w:rFonts w:ascii="Times New Roman" w:hAnsi="Times New Roman" w:cs="Times New Roman"/>
                <w:sz w:val="28"/>
                <w:szCs w:val="28"/>
              </w:rPr>
              <w:t>http://novokubanskiy.ru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</w:p>
        </w:tc>
      </w:tr>
      <w:tr w:rsidR="008F05B1" w:rsidRPr="008F05B1" w:rsidTr="00902F2A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B1" w:rsidRPr="00F70C0F" w:rsidRDefault="008F05B1" w:rsidP="001104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запрашивал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>у отдела потребительской сферы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CD611D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  <w:p w:rsidR="00CD611D" w:rsidRPr="001C4082" w:rsidRDefault="00CD611D" w:rsidP="00A2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 w:rsidR="00083B98" w:rsidRPr="008524E5">
              <w:rPr>
                <w:rFonts w:ascii="Times New Roman" w:hAnsi="Times New Roman" w:cs="Times New Roman"/>
                <w:sz w:val="28"/>
                <w:szCs w:val="28"/>
              </w:rPr>
              <w:t xml:space="preserve">с главой 26.3 части второй Налогового кодекса Российской Федерации, </w:t>
            </w:r>
            <w:r w:rsidR="00083B98" w:rsidRPr="00CC15A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статьей 24 устава муниципального образования 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Новокубанский </w:t>
            </w:r>
            <w:r w:rsidR="00083B98" w:rsidRPr="00CC15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1F4" w:rsidRPr="00FA11F4" w:rsidRDefault="00F438FB" w:rsidP="005B798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в виде единого налога на вмененный доход для отдельных видов деятельности, </w:t>
            </w:r>
            <w:proofErr w:type="gramStart"/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>применяемую</w:t>
            </w:r>
            <w:proofErr w:type="gramEnd"/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следующих видов пре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дпринимательской деятельности: </w:t>
            </w:r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>оказания бытовых услуг;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>оказания ветеринарных услуг;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 w:rsidRPr="008524E5">
              <w:rPr>
                <w:rFonts w:ascii="Times New Roman" w:hAnsi="Times New Roman" w:cs="Times New Roman"/>
                <w:sz w:val="28"/>
                <w:szCs w:val="28"/>
              </w:rPr>
              <w:t>оказания услуг по ремонту, техническому обслуживанию и мойке автотранспортных средств;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w:anchor="Par14831" w:tooltip="платные стоянки - площади (в том числе открытые и крытые площадки), используемые в качестве мест для оказания платных услуг по предоставлению во временное владение (в пользование) мест для стоянки автотранспортных средств, а также по хранению автотранспортных 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платных стоянках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штрафных автостоянок);</w:t>
            </w:r>
            <w:bookmarkStart w:id="0" w:name="sub_346265"/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      </w:r>
            <w:bookmarkStart w:id="1" w:name="sub_346267"/>
            <w:bookmarkEnd w:id="0"/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833" w:tooltip="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розничной торговли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осуществляемой через </w:t>
            </w:r>
            <w:hyperlink w:anchor="Par14852" w:tooltip="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магазины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4853" w:tooltip="павильон - строение, имеющее торговый зал и рассчитанное на одно или несколько рабочих мест;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павильоны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w:anchor="Par14848" w:tooltip="площадь торгового зала -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площадью торгового зала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150 квадратных метров по каждому объекту организации торговли;</w:t>
            </w:r>
            <w:proofErr w:type="gramEnd"/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торговли, осуществляемой через объекты </w:t>
            </w:r>
            <w:hyperlink w:anchor="Par14838" w:tooltip="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стационарной торговой сети, не имеющей торговых залов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объекты </w:t>
            </w:r>
            <w:hyperlink w:anchor="Par14840" w:tooltip="нестационарная торговая сеть 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;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нестационарной торговой сети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2" w:name="sub_346268"/>
            <w:bookmarkEnd w:id="1"/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hyperlink w:anchor="Par14843" w:tooltip="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услуг общественного питания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осуществляемых через объекты организации общественного питания с </w:t>
            </w:r>
            <w:hyperlink w:anchor="Par14849" w:tooltip="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площадью зала обслуживания посетителей</w:t>
              </w:r>
            </w:hyperlink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150 квадратных метров по каждому объекту организации общественного питания;</w:t>
            </w:r>
            <w:bookmarkStart w:id="3" w:name="sub_346269"/>
            <w:bookmarkEnd w:id="2"/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>оказания услуг общественного питания, осуществляемых через объекты организации общественного питания,</w:t>
            </w:r>
            <w:proofErr w:type="gramEnd"/>
            <w:r w:rsidR="005B798D" w:rsidRPr="00357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846" w:tooltip="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" w:history="1">
              <w:r w:rsidR="005B798D" w:rsidRPr="00357419">
                <w:rPr>
                  <w:rFonts w:ascii="Times New Roman" w:hAnsi="Times New Roman" w:cs="Times New Roman"/>
                  <w:sz w:val="28"/>
                  <w:szCs w:val="28"/>
                </w:rPr>
                <w:t>не имеющие зала обслуживания посетителей</w:t>
              </w:r>
            </w:hyperlink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D0997">
            <w:pPr>
              <w:numPr>
                <w:ilvl w:val="0"/>
                <w:numId w:val="2"/>
              </w:numPr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547FA">
            <w:pPr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B3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F7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7FA" w:rsidRDefault="00F70C0F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отдел потребительской сферы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0547FA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7F" w:rsidRDefault="00D5577F" w:rsidP="008F05B1">
      <w:r>
        <w:separator/>
      </w:r>
    </w:p>
  </w:endnote>
  <w:endnote w:type="continuationSeparator" w:id="0">
    <w:p w:rsidR="00D5577F" w:rsidRDefault="00D5577F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7F" w:rsidRDefault="00D5577F" w:rsidP="008F05B1">
      <w:r>
        <w:separator/>
      </w:r>
    </w:p>
  </w:footnote>
  <w:footnote w:type="continuationSeparator" w:id="0">
    <w:p w:rsidR="00D5577F" w:rsidRDefault="00D5577F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D219B0">
    <w:pPr>
      <w:pStyle w:val="affff0"/>
      <w:jc w:val="center"/>
    </w:pPr>
    <w:fldSimple w:instr="PAGE   \* MERGEFORMAT">
      <w:r w:rsidR="00AB2DDB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80DDC"/>
    <w:rsid w:val="00083B98"/>
    <w:rsid w:val="000B36F1"/>
    <w:rsid w:val="000C6C09"/>
    <w:rsid w:val="000D0997"/>
    <w:rsid w:val="00110451"/>
    <w:rsid w:val="00135AF2"/>
    <w:rsid w:val="00136595"/>
    <w:rsid w:val="00136BEC"/>
    <w:rsid w:val="00176F22"/>
    <w:rsid w:val="0019097D"/>
    <w:rsid w:val="001C4082"/>
    <w:rsid w:val="001F3729"/>
    <w:rsid w:val="00257C8A"/>
    <w:rsid w:val="0031324D"/>
    <w:rsid w:val="00357419"/>
    <w:rsid w:val="00362D67"/>
    <w:rsid w:val="003B5716"/>
    <w:rsid w:val="003F0BFA"/>
    <w:rsid w:val="00457C59"/>
    <w:rsid w:val="004D3D08"/>
    <w:rsid w:val="00504185"/>
    <w:rsid w:val="005A056D"/>
    <w:rsid w:val="005B18F9"/>
    <w:rsid w:val="005B798D"/>
    <w:rsid w:val="0066465E"/>
    <w:rsid w:val="007436BA"/>
    <w:rsid w:val="00774B18"/>
    <w:rsid w:val="007941C9"/>
    <w:rsid w:val="007B3D40"/>
    <w:rsid w:val="008255F4"/>
    <w:rsid w:val="00836682"/>
    <w:rsid w:val="00845D1C"/>
    <w:rsid w:val="00852262"/>
    <w:rsid w:val="008524E5"/>
    <w:rsid w:val="008B4583"/>
    <w:rsid w:val="008F05B1"/>
    <w:rsid w:val="008F7DD3"/>
    <w:rsid w:val="00902F2A"/>
    <w:rsid w:val="009B2718"/>
    <w:rsid w:val="00A137E5"/>
    <w:rsid w:val="00A2198F"/>
    <w:rsid w:val="00A65DBE"/>
    <w:rsid w:val="00A721C4"/>
    <w:rsid w:val="00AB244A"/>
    <w:rsid w:val="00AB2DDB"/>
    <w:rsid w:val="00AC765C"/>
    <w:rsid w:val="00BF4FB3"/>
    <w:rsid w:val="00C620E6"/>
    <w:rsid w:val="00CC15A1"/>
    <w:rsid w:val="00CD611D"/>
    <w:rsid w:val="00CE08CC"/>
    <w:rsid w:val="00D219B0"/>
    <w:rsid w:val="00D26954"/>
    <w:rsid w:val="00D5577F"/>
    <w:rsid w:val="00D8138C"/>
    <w:rsid w:val="00DC29A1"/>
    <w:rsid w:val="00DD1A4D"/>
    <w:rsid w:val="00E1692B"/>
    <w:rsid w:val="00E60F15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7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7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C57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C57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7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7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7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57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7D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C57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57D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C57DB"/>
    <w:rPr>
      <w:u w:val="single"/>
    </w:rPr>
  </w:style>
  <w:style w:type="paragraph" w:customStyle="1" w:styleId="a6">
    <w:name w:val="Внимание"/>
    <w:basedOn w:val="a"/>
    <w:next w:val="a"/>
    <w:uiPriority w:val="99"/>
    <w:rsid w:val="00FC57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C57DB"/>
  </w:style>
  <w:style w:type="paragraph" w:customStyle="1" w:styleId="a8">
    <w:name w:val="Внимание: недобросовестность!"/>
    <w:basedOn w:val="a6"/>
    <w:next w:val="a"/>
    <w:uiPriority w:val="99"/>
    <w:rsid w:val="00FC57DB"/>
  </w:style>
  <w:style w:type="character" w:customStyle="1" w:styleId="a9">
    <w:name w:val="Выделение для Базового Поиска"/>
    <w:basedOn w:val="a3"/>
    <w:uiPriority w:val="99"/>
    <w:rsid w:val="00FC57D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C57D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C57D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C57D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C57D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C57D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C57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C57D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C57D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C57D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C57D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C57D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C57D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C57D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C57D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C57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C57D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C57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C57D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C57D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C57D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C57D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C57D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C57D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C57DB"/>
  </w:style>
  <w:style w:type="paragraph" w:customStyle="1" w:styleId="aff2">
    <w:name w:val="Моноширинный"/>
    <w:basedOn w:val="a"/>
    <w:next w:val="a"/>
    <w:uiPriority w:val="99"/>
    <w:rsid w:val="00FC57D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C57D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C57D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C57D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C57D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C57D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C57D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C57DB"/>
    <w:pPr>
      <w:ind w:left="140"/>
    </w:pPr>
  </w:style>
  <w:style w:type="character" w:customStyle="1" w:styleId="affa">
    <w:name w:val="Опечатки"/>
    <w:uiPriority w:val="99"/>
    <w:rsid w:val="00FC57D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C57D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C57D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C57D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C57D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C57D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C57D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C57DB"/>
  </w:style>
  <w:style w:type="paragraph" w:customStyle="1" w:styleId="afff2">
    <w:name w:val="Примечание."/>
    <w:basedOn w:val="a6"/>
    <w:next w:val="a"/>
    <w:uiPriority w:val="99"/>
    <w:rsid w:val="00FC57DB"/>
  </w:style>
  <w:style w:type="character" w:customStyle="1" w:styleId="afff3">
    <w:name w:val="Продолжение ссылки"/>
    <w:basedOn w:val="a4"/>
    <w:uiPriority w:val="99"/>
    <w:rsid w:val="00FC57DB"/>
  </w:style>
  <w:style w:type="paragraph" w:customStyle="1" w:styleId="afff4">
    <w:name w:val="Словарная статья"/>
    <w:basedOn w:val="a"/>
    <w:next w:val="a"/>
    <w:uiPriority w:val="99"/>
    <w:rsid w:val="00FC57D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C57D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FC57D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C57D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C57DB"/>
  </w:style>
  <w:style w:type="character" w:customStyle="1" w:styleId="afff9">
    <w:name w:val="Ссылка на утративший силу документ"/>
    <w:basedOn w:val="a4"/>
    <w:uiPriority w:val="99"/>
    <w:rsid w:val="00FC57D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C57D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C57D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C57D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C57D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C57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C57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57D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6D9F-F13F-4743-8305-D1F83276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</Words>
  <Characters>8274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</cp:lastModifiedBy>
  <cp:revision>5</cp:revision>
  <cp:lastPrinted>2018-04-23T08:24:00Z</cp:lastPrinted>
  <dcterms:created xsi:type="dcterms:W3CDTF">2018-04-23T08:10:00Z</dcterms:created>
  <dcterms:modified xsi:type="dcterms:W3CDTF">2018-04-23T08:24:00Z</dcterms:modified>
</cp:coreProperties>
</file>