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>АНО ДПО «Учебно-методический центр «</w:t>
      </w:r>
      <w:proofErr w:type="spellStart"/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>Финконт</w:t>
      </w:r>
      <w:proofErr w:type="spellEnd"/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>» приглашает в мае принять участие в семинаре (</w:t>
      </w:r>
      <w:proofErr w:type="spellStart"/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>очно</w:t>
      </w:r>
      <w:proofErr w:type="spellEnd"/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  <w:proofErr w:type="gramStart"/>
      <w:r w:rsidRPr="00B1123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123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Электронно-трудовые отношения 2021 года: дистанционный труд, электронный документооборот, надзор и отчетность» 28 мая 2021 года, место проведения </w:t>
      </w:r>
      <w:r w:rsidRPr="00B11238">
        <w:rPr>
          <w:rFonts w:ascii="Times New Roman" w:hAnsi="Times New Roman" w:cs="Times New Roman"/>
          <w:bCs/>
          <w:sz w:val="28"/>
          <w:szCs w:val="28"/>
        </w:rPr>
        <w:t xml:space="preserve">Учебный центр </w:t>
      </w:r>
      <w:proofErr w:type="spellStart"/>
      <w:r w:rsidRPr="00B11238">
        <w:rPr>
          <w:rFonts w:ascii="Times New Roman" w:hAnsi="Times New Roman" w:cs="Times New Roman"/>
          <w:bCs/>
          <w:sz w:val="28"/>
          <w:szCs w:val="28"/>
        </w:rPr>
        <w:t>Финконт</w:t>
      </w:r>
      <w:proofErr w:type="spellEnd"/>
      <w:r w:rsidRPr="00B11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238">
        <w:rPr>
          <w:rFonts w:ascii="Times New Roman" w:hAnsi="Times New Roman" w:cs="Times New Roman"/>
          <w:sz w:val="28"/>
          <w:szCs w:val="28"/>
        </w:rPr>
        <w:t>г. Москва, ул. Золотая, д. 11, бизнес-центр «Золото», 5 этаж.</w:t>
      </w:r>
      <w:proofErr w:type="gramEnd"/>
      <w:r w:rsidRPr="00B11238">
        <w:rPr>
          <w:rFonts w:ascii="Times New Roman" w:hAnsi="Times New Roman" w:cs="Times New Roman"/>
          <w:sz w:val="28"/>
          <w:szCs w:val="28"/>
        </w:rPr>
        <w:t xml:space="preserve"> Всем участникам высылается подробная схема проезда на семинар.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На семинаре рассматриваются все главные изменения трудового законодательства 2021 года в области дистанционного труда, электронного документооборота, «электронной» книжки, «</w:t>
      </w:r>
      <w:proofErr w:type="spellStart"/>
      <w:r w:rsidRPr="00B1123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112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Семинар позволяет увидеть плюсы или возможные минусы нововведений для компании, чтобы получить преимущества по управлению персоналом, или избежать ошибок и штрафов. Особое внимание будет уделено актуальным вопросам увольнения работников.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результате прохождения обучения слушатели узнают: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F077F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акие изменения произошли в 2020 году и ожидают в 2021 году в связи с реализацией </w:t>
      </w:r>
      <w:proofErr w:type="spellStart"/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. программы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 «Цифровая Экономика», какие новые возможности и преимущества она несет работодателю.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ак при </w:t>
      </w:r>
      <w:proofErr w:type="spell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 кадровых процессов минимизировать риск нарушений трудового законодательства.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акие локальные акты необходимо принять в компании, и какие изменения внести в трудовые договоры с сотрудниками при организации дистанционной работы.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овые правила проведения проверок ГИТ с 1 июля 2021 года.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акие условия трудового договора можно изменить, а какие нельзя, и как это делать без ошибок?</w:t>
      </w:r>
    </w:p>
    <w:p w:rsidR="003040B6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ктуальные тренды прекращения трудовых отношений, как правильно уволить работника с учетом сложившейся ситуации на рынке труда, и новейшей судебной практике.</w:t>
      </w:r>
    </w:p>
    <w:p w:rsidR="003040B6" w:rsidRPr="00B11238" w:rsidRDefault="003040B6" w:rsidP="003040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ак успешно противостоять «кадровым экстремизмом» со стороны работников.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Дистанционный труд — важное изменение главы 49.1 ТК РФ с 1 января 2021 года: (Закон 08.12.2020 N 407-ФЗ).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Развитие новой эры дистанционных отношений — тренд десятилетия.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Новые формы занятости: дистанционная (удаленная), временно дистанционная работа.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Временная дистанционная работа и чередование дистанционного труда с трудом на стационарном рабочем месте.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Существенное изменение законопроекта в окончательной редакции.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Что необходимо знать кадровому специалисту и работодателю: особенности дистанционного труда, плюсы и минусы нововведений. Оценка и дифференциация работников по типам занятости с учетом интересов компании (результативности) и интересов работников.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Какие скрытые риски несет «массовый дистанционный труд».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приема на работу работника, который будет работать дистанционно. Содержание трудового договора с дистанционным 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работником. Что обязательно прописать в трудовом договоре с дистанционным работником, чтобы защитить интересы компании. Какую систему оплаты труда выбрать.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Порядок установления дистанционной работы в процессе трудовой деятельности. Установление временной дистанционной работы, в том числе в случае введения ограничительных мероприятий.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Проведение подготовительной работы: подготовка ЛНА — как правильно прописать условие об «удаленной» работе (Дополнительное соглашения к Труд</w:t>
      </w:r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оговорам, ПВТР, Положение о Дистанционной работе). Какие факторы и риски необходимо учесть при составлении документов по дистанционному труду, чтобы минимизировать трудовые споры.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Советы по организации дистанционной работы для повышения эффективности труда и поддержанию (увеличению) производительности труда. Постановка задач и прием результатов работы дистанционного работника.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Привлечение дистанционного работника к дисциплинарной отнесенности: порядок, фиксирование проступков, ознакомление с приказом.</w:t>
      </w:r>
    </w:p>
    <w:p w:rsidR="003040B6" w:rsidRPr="00B11238" w:rsidRDefault="003040B6" w:rsidP="003040B6">
      <w:pPr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Особенности прекращения трудовых отношений с Дистанционными работниками. «Дистанционные кадровые экстремисты» — новый тренд в трудовых отношениях в период COVID-19.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Электронный документооборот, надзор, отчетность в ПФР и Службу занятости.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Электронные трудовые книжки и сведения о трудовой деятельности (СТД) в 2021 году.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Электронные и бумажные трудовые книжки после 2020 года — принципиальные изменения.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Штрафы за ошибки в подаче СЗВ-ТД с 2021 года.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Отчеты СЗВ-ТД: заполнение в сложных случаях.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Перевод с работы по совместительству на основную работу.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Перевод с временной работы на </w:t>
      </w:r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Переименование структурного подразделения и должности/профессии и другие.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Специфика заполнения и выдачи формы СТД-Р в период работы и при увольнении.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выдача и оформление трудовых книжек работникам, подавшим заявление о переходе на СТД. Какую запись сделать в трудовой книжке?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Ожидаемое изменени</w:t>
      </w:r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обновление) формы и порядка заполнения СЗВ ТД: Работа в районах КС и МКС, код выполняемой функции.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Изменение формы СТД-ПФР с 14.12.2020: в форме указывается весь учтенный на индивидуальном лицевом счете стаж сотрудника до 31.12.2019 года.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Уведомление службы занятости через </w:t>
      </w:r>
      <w:proofErr w:type="spellStart"/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сервис.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 Изменения в предоставлении отчетности, Отчетность для органов службы занятости на портал «Работа в России», правила заполнения формы, сроки представления, ответственность за непредставление. Регистрация безработных и пособие по безработице.</w:t>
      </w:r>
    </w:p>
    <w:p w:rsidR="003040B6" w:rsidRPr="00B11238" w:rsidRDefault="003040B6" w:rsidP="003040B6">
      <w:pPr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Перспективные направления внедрения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 «Цифровой экономики» в HR-блок у работодателя.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Электронный кадровый документооборот работодателя — теперь это законно!</w:t>
      </w:r>
    </w:p>
    <w:p w:rsidR="003040B6" w:rsidRPr="00B11238" w:rsidRDefault="003040B6" w:rsidP="003040B6">
      <w:pPr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Эксперимент по внедрению электронного документооборота с 5 мая 2020 года по 31 марта 2021 года (Федеральный закон от 24.04.2020 N 122-ФЗ).</w:t>
      </w:r>
    </w:p>
    <w:p w:rsidR="003040B6" w:rsidRPr="00B11238" w:rsidRDefault="003040B6" w:rsidP="003040B6">
      <w:pPr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Порядок и правила проведения эксперимента. Внедрение реального электронного документооборота без дублирования на бумажном носителе.</w:t>
      </w:r>
    </w:p>
    <w:p w:rsidR="003040B6" w:rsidRPr="00B11238" w:rsidRDefault="003040B6" w:rsidP="003040B6">
      <w:pPr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Простая электронная подпись Работника — будущее современных трудовых отношений</w:t>
      </w:r>
    </w:p>
    <w:p w:rsidR="003040B6" w:rsidRPr="00B11238" w:rsidRDefault="003040B6" w:rsidP="003040B6">
      <w:pPr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Плюсы и минусы нововведений, что необходимо знать и как подготовиться к этому.</w:t>
      </w:r>
    </w:p>
    <w:p w:rsidR="003040B6" w:rsidRPr="00B11238" w:rsidRDefault="003040B6" w:rsidP="003040B6">
      <w:pPr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Как организовать Работу и что прописать в Соглашении с работником?</w:t>
      </w:r>
    </w:p>
    <w:p w:rsidR="003040B6" w:rsidRPr="00B11238" w:rsidRDefault="003040B6" w:rsidP="003040B6">
      <w:pPr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Информационная система «Работа в России» и электронный кадровый документооборот — совместное развитие после 2021 года.</w:t>
      </w:r>
    </w:p>
    <w:p w:rsidR="003040B6" w:rsidRPr="00B11238" w:rsidRDefault="003040B6" w:rsidP="003040B6">
      <w:pPr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Перспективы «массового» электронного документооборота.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Электронный надзор за трудовыми взаимоотношениями.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правила проведения проверок ГИТ с 1 июля 2021 года (закон от 31.07.2020 N 248-ФЗ).</w:t>
      </w:r>
    </w:p>
    <w:p w:rsidR="003040B6" w:rsidRPr="00B11238" w:rsidRDefault="003040B6" w:rsidP="003040B6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Изменение в оценке эффективности контролирующих органов.</w:t>
      </w:r>
    </w:p>
    <w:p w:rsidR="003040B6" w:rsidRPr="00B11238" w:rsidRDefault="003040B6" w:rsidP="003040B6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Установлены способы сокращения количества проверок.</w:t>
      </w:r>
    </w:p>
    <w:p w:rsidR="003040B6" w:rsidRPr="00B11238" w:rsidRDefault="003040B6" w:rsidP="003040B6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Уменьшение сроков проверок.</w:t>
      </w:r>
    </w:p>
    <w:p w:rsidR="003040B6" w:rsidRPr="00B11238" w:rsidRDefault="003040B6" w:rsidP="003040B6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Виды профилактический мероприятий: меры стимулирования добросовестности, объявление предостережения, консультирование, </w:t>
      </w:r>
      <w:proofErr w:type="spell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, профилактический визит.</w:t>
      </w:r>
    </w:p>
    <w:p w:rsidR="003040B6" w:rsidRPr="00B11238" w:rsidRDefault="003040B6" w:rsidP="003040B6">
      <w:pPr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Электронный надзор за трудовыми взаимоотношениями — Мониторинг вместо плановых проверок. Проведение мониторинга на условиях соглашения между Работодателем (контролируемым лицом) и ГИТ (контролирующим органом). Он может проводиться при помощи дистанционных технических средств, работающих в автоматическом режиме. </w:t>
      </w:r>
      <w:proofErr w:type="spellStart"/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Инспекция РФ — Электронный инспектор.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Электронный паспорт гражданина РФ (ID): 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понятие, перечень информации, содержащей в документе, плюсы и минусы данного документа, предполагаемое время начала выдачи электронных паспортов.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Важные изменения трудового законодательства 2020-2021 гг.</w:t>
      </w:r>
    </w:p>
    <w:p w:rsidR="003040B6" w:rsidRPr="00B11238" w:rsidRDefault="003040B6" w:rsidP="003040B6">
      <w:pPr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«Особые полномочия» Правительства РФ по трудовым отношениям (трудовому законодательству) — Закон 166-ФЗ от 08.06.2020.</w:t>
      </w:r>
    </w:p>
    <w:p w:rsidR="003040B6" w:rsidRPr="00B11238" w:rsidRDefault="003040B6" w:rsidP="003040B6">
      <w:pPr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МРОТ 2021 и Индексация и осуществление выплаты Заработной платы.</w:t>
      </w:r>
    </w:p>
    <w:p w:rsidR="003040B6" w:rsidRPr="00B11238" w:rsidRDefault="003040B6" w:rsidP="003040B6">
      <w:pPr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Изменения в ст. 178 ТК РФ.</w:t>
      </w:r>
    </w:p>
    <w:p w:rsidR="003040B6" w:rsidRPr="00B11238" w:rsidRDefault="003040B6" w:rsidP="003040B6">
      <w:pPr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Медицинские осмотры и Диспансеризация.</w:t>
      </w:r>
    </w:p>
    <w:p w:rsidR="003040B6" w:rsidRPr="00B11238" w:rsidRDefault="003040B6" w:rsidP="003040B6">
      <w:pPr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Другие важные изменения на дату проведения семинара.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Самозанятые</w:t>
      </w:r>
      <w:proofErr w:type="spellEnd"/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 — новый популярный тренд в привлечения к труду.</w:t>
      </w:r>
    </w:p>
    <w:p w:rsidR="003040B6" w:rsidRPr="00B11238" w:rsidRDefault="003040B6" w:rsidP="003040B6">
      <w:pPr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» (Федеральный закон от 27.11.2018 N 422-ФЗ) — Успешный эксперимент сейчас будет развиваться на всю территорию РФ.</w:t>
      </w:r>
    </w:p>
    <w:p w:rsidR="003040B6" w:rsidRPr="00B11238" w:rsidRDefault="003040B6" w:rsidP="003040B6">
      <w:pPr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Правовое регулирование отношений с </w:t>
      </w:r>
      <w:proofErr w:type="spell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работниками.</w:t>
      </w:r>
    </w:p>
    <w:p w:rsidR="003040B6" w:rsidRPr="00B11238" w:rsidRDefault="003040B6" w:rsidP="003040B6">
      <w:pPr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Плюсы для Компаний (Работодателей).</w:t>
      </w:r>
    </w:p>
    <w:p w:rsidR="003040B6" w:rsidRPr="00B11238" w:rsidRDefault="003040B6" w:rsidP="003040B6">
      <w:pPr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Необходимые условия для отношений с </w:t>
      </w:r>
      <w:proofErr w:type="spell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: нюансы и особенности.</w:t>
      </w:r>
    </w:p>
    <w:p w:rsidR="003040B6" w:rsidRPr="00B11238" w:rsidRDefault="003040B6" w:rsidP="003040B6">
      <w:pPr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» граждане ЕАЭС: как иностранцу стать </w:t>
      </w:r>
      <w:proofErr w:type="spell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, какие услуги/работы можно оказыват</w:t>
      </w:r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выполнять), ограничения по доходу.</w:t>
      </w:r>
    </w:p>
    <w:p w:rsidR="003040B6" w:rsidRPr="00B11238" w:rsidRDefault="003040B6" w:rsidP="003040B6">
      <w:pPr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Что необходимо учесть, чтобы ФНС не </w:t>
      </w:r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признала их Работниками и не привлекло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 к ответственности.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Увольнение работников — актуальные тренды и современные ошибки.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Изменением определенных сторонами условий трудового договора — ст. 74 и п. 7 ст. 77 ТК РФ — «вынужденная» трансформация трудовых отношений.</w:t>
      </w:r>
    </w:p>
    <w:p w:rsidR="003040B6" w:rsidRPr="00B11238" w:rsidRDefault="003040B6" w:rsidP="003040B6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Оптимизация фонда оплаты труда с сохранением штата работников.</w:t>
      </w:r>
    </w:p>
    <w:p w:rsidR="003040B6" w:rsidRPr="00B11238" w:rsidRDefault="003040B6" w:rsidP="003040B6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Оплата труда (система труда) Рабочее время. Объем должностных обязанностей — три современных тренда изменения условий договора в условиях экономического кризиса.</w:t>
      </w:r>
    </w:p>
    <w:p w:rsidR="003040B6" w:rsidRPr="00B11238" w:rsidRDefault="003040B6" w:rsidP="003040B6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Изменение условий трудового договора по инициативе работодателя вследствие изменения организационных или технологических условий труда, какие условия договора можно изменить и в каких случаях, а какие рискованно и проблематично.</w:t>
      </w:r>
    </w:p>
    <w:p w:rsidR="003040B6" w:rsidRPr="00B11238" w:rsidRDefault="003040B6" w:rsidP="003040B6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Оформление изменения условий трудового. Уведомление работника об изменении трудового договора. Предложение вакансий при отказе работника от работы в новых условиях. Увольнение работника по п. 7 ст. 77 ТК РФ.</w:t>
      </w:r>
    </w:p>
    <w:p w:rsidR="003040B6" w:rsidRPr="00B11238" w:rsidRDefault="003040B6" w:rsidP="003040B6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Возможные негативные последствия неправильного применения норм трудового законодательства.</w:t>
      </w:r>
    </w:p>
    <w:p w:rsidR="003040B6" w:rsidRPr="00B11238" w:rsidRDefault="003040B6" w:rsidP="003040B6">
      <w:pPr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Судебная практика по увольнению (п. 7 ст. 77 ТК РФ) учитываем положительный и отрицательный опыт других компаний, а также современные обстоятельства при принятии решений.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Ошибки, допускаемые при увольнении по инициативе работодателя выявленные судами: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t> прогул, неисполнение должностных обязанностей, сокращение штата.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Что необходимо знать и учесть — учимся на чужих ошибках. </w:t>
      </w: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Увольнение работника за прогул, изменение позиции Верховного суда в 2020 году.</w:t>
      </w:r>
    </w:p>
    <w:p w:rsidR="003040B6" w:rsidRPr="00B11238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Расторжение трудового договора по соглашению сторон №"1″ в списке оснований прекращения трудовых отношений.</w:t>
      </w:r>
    </w:p>
    <w:p w:rsidR="003040B6" w:rsidRPr="00B11238" w:rsidRDefault="003040B6" w:rsidP="003040B6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Плюсы и минусы данного увольнения. Определяем выходное пособие, исходя из интересов компании.</w:t>
      </w:r>
    </w:p>
    <w:p w:rsidR="003040B6" w:rsidRPr="00B11238" w:rsidRDefault="003040B6" w:rsidP="003040B6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правильно провести переговоры с работником с целью заключения соглашения о расторжении трудового договора с заданным </w:t>
      </w:r>
      <w:r w:rsidRPr="00B112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бюджетом. Проведение сравнительного анализа работнику по выплатам по ст. 178 (</w:t>
      </w:r>
      <w:proofErr w:type="gramStart"/>
      <w:r w:rsidRPr="00B11238">
        <w:rPr>
          <w:rFonts w:ascii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B11238">
        <w:rPr>
          <w:rFonts w:ascii="Times New Roman" w:hAnsi="Times New Roman" w:cs="Times New Roman"/>
          <w:sz w:val="28"/>
          <w:szCs w:val="28"/>
          <w:lang w:eastAsia="ru-RU"/>
        </w:rPr>
        <w:t xml:space="preserve"> штата) и соглашении сторон.</w:t>
      </w:r>
    </w:p>
    <w:p w:rsidR="003040B6" w:rsidRPr="00B11238" w:rsidRDefault="003040B6" w:rsidP="003040B6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sz w:val="28"/>
          <w:szCs w:val="28"/>
          <w:lang w:eastAsia="ru-RU"/>
        </w:rPr>
        <w:t>Что необходимо прописать в соглашении о расторжении, чтобы у работника не было возможности оспорить его в суде по различным причинам: давление, нетрудоспособность.</w:t>
      </w:r>
    </w:p>
    <w:p w:rsidR="003040B6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на вопросы участников семинара, построение алгоритма увольнения «проблемных» работников.</w:t>
      </w:r>
    </w:p>
    <w:p w:rsidR="003040B6" w:rsidRPr="003A3DC3" w:rsidRDefault="003040B6" w:rsidP="003040B6">
      <w:pPr>
        <w:suppressAutoHyphens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 принятии решения об участии  необходимо сообщить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тел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.:+7(925)0028598 Мария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Юмшанова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или по адресу электронной почты: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umi</w:t>
      </w:r>
      <w:proofErr w:type="spellEnd"/>
      <w:r w:rsidRPr="003A3DC3">
        <w:rPr>
          <w:rFonts w:ascii="Times New Roman" w:hAnsi="Times New Roman" w:cs="Times New Roman"/>
          <w:kern w:val="36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fcaudit</w:t>
      </w:r>
      <w:proofErr w:type="spellEnd"/>
      <w:r w:rsidRPr="003A3DC3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P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P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sectPr w:rsidR="00400606" w:rsidSect="004006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BA7"/>
    <w:multiLevelType w:val="multilevel"/>
    <w:tmpl w:val="C1C8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7013"/>
    <w:multiLevelType w:val="multilevel"/>
    <w:tmpl w:val="D54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3FA3"/>
    <w:multiLevelType w:val="multilevel"/>
    <w:tmpl w:val="32A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40468"/>
    <w:multiLevelType w:val="multilevel"/>
    <w:tmpl w:val="964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73FA5"/>
    <w:multiLevelType w:val="multilevel"/>
    <w:tmpl w:val="711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90D46"/>
    <w:multiLevelType w:val="multilevel"/>
    <w:tmpl w:val="EFD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66ECD"/>
    <w:multiLevelType w:val="multilevel"/>
    <w:tmpl w:val="0E0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83666"/>
    <w:multiLevelType w:val="multilevel"/>
    <w:tmpl w:val="680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D1F9D"/>
    <w:multiLevelType w:val="hybridMultilevel"/>
    <w:tmpl w:val="21B0D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9FD"/>
    <w:multiLevelType w:val="multilevel"/>
    <w:tmpl w:val="783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2414B"/>
    <w:multiLevelType w:val="multilevel"/>
    <w:tmpl w:val="44F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B13"/>
    <w:rsid w:val="00001BFD"/>
    <w:rsid w:val="000E7D9A"/>
    <w:rsid w:val="000F1F20"/>
    <w:rsid w:val="000F4D78"/>
    <w:rsid w:val="00126A60"/>
    <w:rsid w:val="00161E7F"/>
    <w:rsid w:val="00166897"/>
    <w:rsid w:val="0017318D"/>
    <w:rsid w:val="00187BC3"/>
    <w:rsid w:val="001C2B92"/>
    <w:rsid w:val="002003A8"/>
    <w:rsid w:val="0023681F"/>
    <w:rsid w:val="0023794C"/>
    <w:rsid w:val="00254382"/>
    <w:rsid w:val="002E1549"/>
    <w:rsid w:val="002F5C60"/>
    <w:rsid w:val="003040B6"/>
    <w:rsid w:val="003058D2"/>
    <w:rsid w:val="00307BA6"/>
    <w:rsid w:val="00320277"/>
    <w:rsid w:val="00324515"/>
    <w:rsid w:val="00336842"/>
    <w:rsid w:val="00346E5A"/>
    <w:rsid w:val="00385C2E"/>
    <w:rsid w:val="00386508"/>
    <w:rsid w:val="00392552"/>
    <w:rsid w:val="003A2D6D"/>
    <w:rsid w:val="003B10C9"/>
    <w:rsid w:val="003B7CB7"/>
    <w:rsid w:val="003C1D9F"/>
    <w:rsid w:val="003F40BC"/>
    <w:rsid w:val="00400606"/>
    <w:rsid w:val="00406631"/>
    <w:rsid w:val="004200F9"/>
    <w:rsid w:val="00427512"/>
    <w:rsid w:val="00447A92"/>
    <w:rsid w:val="00491562"/>
    <w:rsid w:val="004D7BC2"/>
    <w:rsid w:val="005226F5"/>
    <w:rsid w:val="00550E59"/>
    <w:rsid w:val="005521C7"/>
    <w:rsid w:val="00555C4A"/>
    <w:rsid w:val="00572EE3"/>
    <w:rsid w:val="005A2AF7"/>
    <w:rsid w:val="005C51F7"/>
    <w:rsid w:val="0060184C"/>
    <w:rsid w:val="0060612F"/>
    <w:rsid w:val="00615F05"/>
    <w:rsid w:val="00622048"/>
    <w:rsid w:val="00635818"/>
    <w:rsid w:val="00686766"/>
    <w:rsid w:val="006B19BE"/>
    <w:rsid w:val="006C56CA"/>
    <w:rsid w:val="006D7A49"/>
    <w:rsid w:val="00741DD8"/>
    <w:rsid w:val="007D3E48"/>
    <w:rsid w:val="007E0D8C"/>
    <w:rsid w:val="00801384"/>
    <w:rsid w:val="00823711"/>
    <w:rsid w:val="00850A25"/>
    <w:rsid w:val="00870FEC"/>
    <w:rsid w:val="008A7983"/>
    <w:rsid w:val="008B584A"/>
    <w:rsid w:val="008E1EBA"/>
    <w:rsid w:val="009A227D"/>
    <w:rsid w:val="00A25260"/>
    <w:rsid w:val="00A2627F"/>
    <w:rsid w:val="00A62644"/>
    <w:rsid w:val="00AA2B13"/>
    <w:rsid w:val="00B26B48"/>
    <w:rsid w:val="00B26CE5"/>
    <w:rsid w:val="00B704FB"/>
    <w:rsid w:val="00B7194E"/>
    <w:rsid w:val="00B752C7"/>
    <w:rsid w:val="00B857A1"/>
    <w:rsid w:val="00BB1893"/>
    <w:rsid w:val="00BF077F"/>
    <w:rsid w:val="00C13F32"/>
    <w:rsid w:val="00C80F5A"/>
    <w:rsid w:val="00C82A85"/>
    <w:rsid w:val="00C9165C"/>
    <w:rsid w:val="00CA7A2F"/>
    <w:rsid w:val="00CB371C"/>
    <w:rsid w:val="00CE1720"/>
    <w:rsid w:val="00D83BA9"/>
    <w:rsid w:val="00DC0DA5"/>
    <w:rsid w:val="00DD3D15"/>
    <w:rsid w:val="00DE4D5E"/>
    <w:rsid w:val="00DE7AEA"/>
    <w:rsid w:val="00E00629"/>
    <w:rsid w:val="00E17CB1"/>
    <w:rsid w:val="00E50BC9"/>
    <w:rsid w:val="00E90C45"/>
    <w:rsid w:val="00EB3106"/>
    <w:rsid w:val="00ED29FC"/>
    <w:rsid w:val="00EE46E7"/>
    <w:rsid w:val="00F23EF6"/>
    <w:rsid w:val="00F315FD"/>
    <w:rsid w:val="00F7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B13"/>
    <w:pPr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2B13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1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04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704FB"/>
    <w:rPr>
      <w:b/>
      <w:bCs/>
    </w:rPr>
  </w:style>
  <w:style w:type="character" w:customStyle="1" w:styleId="apple-converted-space">
    <w:name w:val="apple-converted-space"/>
    <w:basedOn w:val="a0"/>
    <w:rsid w:val="00B704FB"/>
  </w:style>
  <w:style w:type="character" w:styleId="a9">
    <w:name w:val="Hyperlink"/>
    <w:basedOn w:val="a0"/>
    <w:uiPriority w:val="99"/>
    <w:unhideWhenUsed/>
    <w:rsid w:val="00572EE3"/>
    <w:rPr>
      <w:color w:val="0000FF"/>
      <w:u w:val="single"/>
    </w:rPr>
  </w:style>
  <w:style w:type="table" w:styleId="aa">
    <w:name w:val="Table Grid"/>
    <w:basedOn w:val="a1"/>
    <w:uiPriority w:val="59"/>
    <w:rsid w:val="00CB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D7B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7BC2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346E5A"/>
    <w:pPr>
      <w:spacing w:after="200"/>
      <w:ind w:left="720"/>
      <w:contextualSpacing/>
      <w:jc w:val="both"/>
    </w:pPr>
    <w:rPr>
      <w:rFonts w:ascii="Cambria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1C05C-CFF0-4B78-8AB9-CC35777B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Инна</cp:lastModifiedBy>
  <cp:revision>48</cp:revision>
  <cp:lastPrinted>2021-05-14T07:45:00Z</cp:lastPrinted>
  <dcterms:created xsi:type="dcterms:W3CDTF">2018-04-11T13:11:00Z</dcterms:created>
  <dcterms:modified xsi:type="dcterms:W3CDTF">2021-05-14T11:30:00Z</dcterms:modified>
</cp:coreProperties>
</file>