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67" w:rsidRPr="008A07EE" w:rsidRDefault="00975567" w:rsidP="00975567">
      <w:pPr>
        <w:spacing w:after="0" w:line="240" w:lineRule="auto"/>
        <w:rPr>
          <w:sz w:val="16"/>
          <w:szCs w:val="16"/>
        </w:rPr>
      </w:pPr>
    </w:p>
    <w:p w:rsidR="00975567" w:rsidRPr="00253823" w:rsidRDefault="00975567" w:rsidP="00975567">
      <w:pPr>
        <w:spacing w:after="0" w:line="240" w:lineRule="auto"/>
        <w:ind w:firstLine="567"/>
        <w:jc w:val="center"/>
      </w:pPr>
      <w:r w:rsidRPr="00253823">
        <w:t>НОВОКУБАНСКИЙ РАЙОН</w:t>
      </w:r>
    </w:p>
    <w:p w:rsidR="00975567" w:rsidRPr="00253823" w:rsidRDefault="00975567" w:rsidP="00975567">
      <w:pPr>
        <w:spacing w:after="0" w:line="240" w:lineRule="auto"/>
        <w:ind w:firstLine="567"/>
        <w:jc w:val="center"/>
      </w:pPr>
      <w:r w:rsidRPr="00253823">
        <w:t>АДМИНИСТРАЦИЯ МУНИЦИПАЛЬНОГО ОБРАЗОВАНИЯ</w:t>
      </w:r>
    </w:p>
    <w:p w:rsidR="00975567" w:rsidRPr="00253823" w:rsidRDefault="00975567" w:rsidP="00975567">
      <w:pPr>
        <w:spacing w:after="0" w:line="240" w:lineRule="auto"/>
        <w:ind w:firstLine="567"/>
        <w:jc w:val="center"/>
      </w:pPr>
      <w:r w:rsidRPr="00253823">
        <w:t>НОВОКУБАНСКИЙ РАЙОН</w:t>
      </w:r>
    </w:p>
    <w:p w:rsidR="00975567" w:rsidRPr="00253823" w:rsidRDefault="00975567" w:rsidP="00975567">
      <w:pPr>
        <w:spacing w:after="0" w:line="240" w:lineRule="auto"/>
        <w:ind w:firstLine="567"/>
        <w:jc w:val="center"/>
      </w:pPr>
    </w:p>
    <w:p w:rsidR="00975567" w:rsidRPr="00253823" w:rsidRDefault="00975567" w:rsidP="00975567">
      <w:pPr>
        <w:spacing w:after="0" w:line="240" w:lineRule="auto"/>
        <w:ind w:firstLine="567"/>
        <w:jc w:val="center"/>
      </w:pPr>
      <w:r w:rsidRPr="00253823">
        <w:t>ПОСТАНОВЛЕНИЕ</w:t>
      </w:r>
    </w:p>
    <w:p w:rsidR="00975567" w:rsidRPr="00253823" w:rsidRDefault="00975567" w:rsidP="00975567">
      <w:pPr>
        <w:spacing w:after="0" w:line="240" w:lineRule="auto"/>
        <w:ind w:firstLine="567"/>
        <w:jc w:val="center"/>
      </w:pPr>
    </w:p>
    <w:p w:rsidR="00975567" w:rsidRDefault="00975567" w:rsidP="00975567">
      <w:pPr>
        <w:spacing w:after="0" w:line="240" w:lineRule="auto"/>
        <w:ind w:firstLine="567"/>
        <w:jc w:val="center"/>
      </w:pPr>
      <w:r>
        <w:t>13 февраля 2018 года</w:t>
      </w:r>
      <w:r>
        <w:tab/>
      </w:r>
      <w:r>
        <w:tab/>
        <w:t>№ 126</w:t>
      </w:r>
      <w:r w:rsidRPr="00253823">
        <w:tab/>
      </w:r>
      <w:r w:rsidRPr="00253823">
        <w:tab/>
        <w:t>г. Новокубанск</w:t>
      </w:r>
    </w:p>
    <w:p w:rsidR="00975567" w:rsidRPr="00253823" w:rsidRDefault="00975567" w:rsidP="00975567">
      <w:pPr>
        <w:spacing w:after="0" w:line="240" w:lineRule="auto"/>
        <w:ind w:firstLine="567"/>
        <w:jc w:val="center"/>
      </w:pPr>
    </w:p>
    <w:p w:rsidR="00F33BA1" w:rsidRDefault="00F33BA1" w:rsidP="0097556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BA1" w:rsidRDefault="00F33BA1" w:rsidP="0090764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2CFC" w:rsidRDefault="00F33BA1" w:rsidP="00E02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Порядка установления и </w:t>
      </w:r>
      <w:r w:rsidR="00FD0255">
        <w:rPr>
          <w:rFonts w:ascii="Times New Roman" w:hAnsi="Times New Roman"/>
          <w:b/>
          <w:sz w:val="28"/>
          <w:szCs w:val="28"/>
        </w:rPr>
        <w:t>осуществления</w:t>
      </w:r>
      <w:r>
        <w:rPr>
          <w:rFonts w:ascii="Times New Roman" w:hAnsi="Times New Roman"/>
          <w:b/>
          <w:sz w:val="28"/>
          <w:szCs w:val="28"/>
        </w:rPr>
        <w:t xml:space="preserve"> выплат </w:t>
      </w:r>
    </w:p>
    <w:p w:rsidR="00E02CFC" w:rsidRDefault="00F33BA1" w:rsidP="00E02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должностным окладам работ</w:t>
      </w:r>
      <w:r w:rsidR="00E02CFC">
        <w:rPr>
          <w:rFonts w:ascii="Times New Roman" w:hAnsi="Times New Roman"/>
          <w:b/>
          <w:sz w:val="28"/>
          <w:szCs w:val="28"/>
        </w:rPr>
        <w:t xml:space="preserve">ников муниципальных учреждений, </w:t>
      </w:r>
      <w:r>
        <w:rPr>
          <w:rFonts w:ascii="Times New Roman" w:hAnsi="Times New Roman"/>
          <w:b/>
          <w:sz w:val="28"/>
          <w:szCs w:val="28"/>
        </w:rPr>
        <w:t xml:space="preserve">подведомственных отделу культуры администрации </w:t>
      </w:r>
    </w:p>
    <w:p w:rsidR="00F33BA1" w:rsidRDefault="00F33BA1" w:rsidP="00E02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</w:t>
      </w:r>
      <w:r w:rsidR="00E02CFC">
        <w:rPr>
          <w:rFonts w:ascii="Times New Roman" w:hAnsi="Times New Roman"/>
          <w:b/>
          <w:sz w:val="28"/>
          <w:szCs w:val="28"/>
        </w:rPr>
        <w:t>азования Новокубанский район, за счет</w:t>
      </w:r>
      <w:r>
        <w:rPr>
          <w:rFonts w:ascii="Times New Roman" w:hAnsi="Times New Roman"/>
          <w:b/>
          <w:sz w:val="28"/>
          <w:szCs w:val="28"/>
        </w:rPr>
        <w:t xml:space="preserve"> средств </w:t>
      </w:r>
      <w:r w:rsidR="00D65F3E">
        <w:rPr>
          <w:rFonts w:ascii="Times New Roman" w:hAnsi="Times New Roman"/>
          <w:b/>
          <w:sz w:val="28"/>
          <w:szCs w:val="28"/>
        </w:rPr>
        <w:t xml:space="preserve"> муниципального и краевого бюджетов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35BB">
        <w:rPr>
          <w:rFonts w:ascii="Times New Roman" w:hAnsi="Times New Roman"/>
          <w:b/>
          <w:sz w:val="28"/>
          <w:szCs w:val="28"/>
        </w:rPr>
        <w:t>в 2018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33BA1" w:rsidRDefault="00F33BA1" w:rsidP="00F33BA1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Arial Unicode MS" w:hAnsi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  <w:r>
        <w:rPr>
          <w:rFonts w:ascii="Times New Roman" w:hAnsi="Times New Roman"/>
          <w:sz w:val="28"/>
          <w:szCs w:val="28"/>
        </w:rPr>
        <w:t>от 28 февраля 2013 года № 364 «Об утверждении плана мероприятий («дорожной карты») «Изменения в отраслях социальной сферы муниципального образования Новокубанский район, направленные на повышение эффективности сферы культуры» и плана мероприятий («дорожной карты») «Изменения в отрасли «Культура, искусство и кинематография» муниципального образования Новокубанский район, направленные на повышение эффективности и качества услуг дополнительного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детей в детских школ</w:t>
      </w:r>
      <w:r w:rsidR="00D65F3E">
        <w:rPr>
          <w:rFonts w:ascii="Times New Roman" w:hAnsi="Times New Roman"/>
          <w:sz w:val="28"/>
          <w:szCs w:val="28"/>
        </w:rPr>
        <w:t>ах искусств» (с изменениями от 17</w:t>
      </w:r>
      <w:r>
        <w:rPr>
          <w:rFonts w:ascii="Times New Roman" w:hAnsi="Times New Roman"/>
          <w:sz w:val="28"/>
          <w:szCs w:val="28"/>
        </w:rPr>
        <w:t xml:space="preserve"> </w:t>
      </w:r>
      <w:r w:rsidR="00D65F3E">
        <w:rPr>
          <w:rFonts w:ascii="Times New Roman" w:hAnsi="Times New Roman"/>
          <w:sz w:val="28"/>
          <w:szCs w:val="28"/>
        </w:rPr>
        <w:t>января                   2017 года № 24</w:t>
      </w:r>
      <w:r w:rsidR="005E35BB">
        <w:rPr>
          <w:rFonts w:ascii="Times New Roman" w:hAnsi="Times New Roman"/>
          <w:sz w:val="28"/>
          <w:szCs w:val="28"/>
        </w:rPr>
        <w:t>, от 10 ноября 2017 года № 1382, от 29 декабря 2017 года                          № 1637</w:t>
      </w:r>
      <w:r>
        <w:rPr>
          <w:rFonts w:ascii="Times New Roman" w:hAnsi="Times New Roman"/>
          <w:sz w:val="28"/>
          <w:szCs w:val="28"/>
        </w:rPr>
        <w:t>) и в целях поэтапного повышения уровня средней заработной платы работников муниципальных учреждений</w:t>
      </w:r>
      <w:r w:rsidR="00E02C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подведомственных отделу культуры администрации муниципального образования Новокубанский район,</w:t>
      </w:r>
      <w:r w:rsidR="005E35B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33BA1" w:rsidRDefault="00F33BA1" w:rsidP="00F33B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Порядок установления и </w:t>
      </w:r>
      <w:r w:rsidR="00FD025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выплат к должностным окладам работников муниципальных учреждений, подведомственных отделу культуры администрации муниципального образования Новокубанский район, </w:t>
      </w:r>
      <w:r w:rsidR="00FD0255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D65F3E"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5E35BB">
        <w:rPr>
          <w:rFonts w:ascii="Times New Roman" w:hAnsi="Times New Roman"/>
          <w:sz w:val="28"/>
          <w:szCs w:val="28"/>
        </w:rPr>
        <w:t>в 2018</w:t>
      </w:r>
      <w:r w:rsidR="00FD0255">
        <w:rPr>
          <w:rFonts w:ascii="Times New Roman" w:hAnsi="Times New Roman"/>
          <w:sz w:val="28"/>
          <w:szCs w:val="28"/>
        </w:rPr>
        <w:t xml:space="preserve"> году,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Руко</w:t>
      </w:r>
      <w:r w:rsidR="00D65F3E">
        <w:rPr>
          <w:rFonts w:ascii="Times New Roman" w:hAnsi="Times New Roman"/>
          <w:sz w:val="28"/>
          <w:szCs w:val="28"/>
        </w:rPr>
        <w:t>водителям МА</w:t>
      </w:r>
      <w:r>
        <w:rPr>
          <w:rFonts w:ascii="Times New Roman" w:hAnsi="Times New Roman"/>
          <w:sz w:val="28"/>
          <w:szCs w:val="28"/>
        </w:rPr>
        <w:t>УДО «Детская музыкальная школа» муниципального образования Новокубанский район, МБУДО «Детс</w:t>
      </w:r>
      <w:r w:rsidR="00D65F3E">
        <w:rPr>
          <w:rFonts w:ascii="Times New Roman" w:hAnsi="Times New Roman"/>
          <w:sz w:val="28"/>
          <w:szCs w:val="28"/>
        </w:rPr>
        <w:t>кая художественная школа» г.</w:t>
      </w:r>
      <w:r>
        <w:rPr>
          <w:rFonts w:ascii="Times New Roman" w:hAnsi="Times New Roman"/>
          <w:sz w:val="28"/>
          <w:szCs w:val="28"/>
        </w:rPr>
        <w:t xml:space="preserve"> Новокубанска муниципального образования Новокубанский район, МКУК «Межпоселенческий методический центр культуры»</w:t>
      </w:r>
      <w:r w:rsidR="00FA4F1A">
        <w:rPr>
          <w:rFonts w:ascii="Times New Roman" w:hAnsi="Times New Roman"/>
          <w:sz w:val="28"/>
          <w:szCs w:val="28"/>
        </w:rPr>
        <w:t xml:space="preserve"> муниципального образования Новокубанский район</w:t>
      </w:r>
      <w:r w:rsidR="00D65F3E">
        <w:rPr>
          <w:rFonts w:ascii="Times New Roman" w:hAnsi="Times New Roman"/>
          <w:sz w:val="28"/>
          <w:szCs w:val="28"/>
        </w:rPr>
        <w:t xml:space="preserve">, </w:t>
      </w:r>
      <w:r w:rsidR="00FA4F1A">
        <w:rPr>
          <w:rFonts w:ascii="Times New Roman" w:hAnsi="Times New Roman"/>
          <w:sz w:val="28"/>
          <w:szCs w:val="28"/>
        </w:rPr>
        <w:t xml:space="preserve">                             </w:t>
      </w:r>
      <w:r w:rsidR="00D65F3E">
        <w:rPr>
          <w:rFonts w:ascii="Times New Roman" w:hAnsi="Times New Roman"/>
          <w:sz w:val="28"/>
          <w:szCs w:val="28"/>
        </w:rPr>
        <w:t>МБУК «Новокубанская межпоселенческая библиотека» муниципального образования Новокубанский район,</w:t>
      </w:r>
      <w:r w:rsidR="00DD1520">
        <w:rPr>
          <w:rFonts w:ascii="Times New Roman" w:hAnsi="Times New Roman"/>
          <w:sz w:val="28"/>
          <w:szCs w:val="28"/>
        </w:rPr>
        <w:t xml:space="preserve"> руководствуясь настоящим постановлением</w:t>
      </w:r>
      <w:r w:rsidR="00E02CFC">
        <w:rPr>
          <w:rFonts w:ascii="Times New Roman" w:hAnsi="Times New Roman"/>
          <w:sz w:val="28"/>
          <w:szCs w:val="28"/>
        </w:rPr>
        <w:t>,</w:t>
      </w:r>
      <w:r w:rsidR="00DD1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разработать и утвердить Порядок установления и </w:t>
      </w:r>
      <w:r w:rsidR="00FD0255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выплат к должностным окладам работн</w:t>
      </w:r>
      <w:r w:rsidR="00DD1520">
        <w:rPr>
          <w:rFonts w:ascii="Times New Roman" w:hAnsi="Times New Roman"/>
          <w:sz w:val="28"/>
          <w:szCs w:val="28"/>
        </w:rPr>
        <w:t xml:space="preserve">иков возглавляемых </w:t>
      </w:r>
      <w:r w:rsidR="00DD1520">
        <w:rPr>
          <w:rFonts w:ascii="Times New Roman" w:hAnsi="Times New Roman"/>
          <w:sz w:val="28"/>
          <w:szCs w:val="28"/>
        </w:rPr>
        <w:lastRenderedPageBreak/>
        <w:t>учреждений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="00D65F3E"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поэтапного повышения уровня их средней заработной платы.</w:t>
      </w:r>
    </w:p>
    <w:p w:rsidR="00F33BA1" w:rsidRDefault="00F33BA1" w:rsidP="00F33BA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:rsidR="00F33BA1" w:rsidRDefault="00E02CFC" w:rsidP="00F33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3BA1">
        <w:rPr>
          <w:rFonts w:ascii="Times New Roman" w:hAnsi="Times New Roman"/>
          <w:sz w:val="28"/>
          <w:szCs w:val="28"/>
        </w:rPr>
        <w:t xml:space="preserve">. Постановление вступает </w:t>
      </w:r>
      <w:r>
        <w:rPr>
          <w:rFonts w:ascii="Times New Roman" w:hAnsi="Times New Roman"/>
          <w:sz w:val="28"/>
          <w:szCs w:val="28"/>
        </w:rPr>
        <w:t xml:space="preserve">в силу со дня его </w:t>
      </w:r>
      <w:r w:rsidR="00AE0AF0">
        <w:rPr>
          <w:rFonts w:ascii="Times New Roman" w:hAnsi="Times New Roman"/>
          <w:sz w:val="28"/>
          <w:szCs w:val="28"/>
        </w:rPr>
        <w:t>официального опубликования на официальном сайте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520" w:rsidRDefault="00DD1520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33BA1" w:rsidRDefault="00F33BA1" w:rsidP="00F33B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УТВЕРЖДЕН</w:t>
      </w: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Новокубанский район </w:t>
      </w:r>
    </w:p>
    <w:p w:rsidR="00975567" w:rsidRPr="003A3978" w:rsidRDefault="00975567" w:rsidP="0097556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______2018 года № __</w:t>
      </w:r>
    </w:p>
    <w:p w:rsidR="00975567" w:rsidRPr="00A7586E" w:rsidRDefault="00975567" w:rsidP="0097556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ПОРЯДОК</w:t>
      </w:r>
    </w:p>
    <w:p w:rsidR="00975567" w:rsidRPr="003A3978" w:rsidRDefault="00975567" w:rsidP="0097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 xml:space="preserve">установления и </w:t>
      </w:r>
      <w:r>
        <w:rPr>
          <w:rFonts w:ascii="Times New Roman" w:hAnsi="Times New Roman"/>
          <w:b/>
          <w:sz w:val="28"/>
          <w:szCs w:val="28"/>
        </w:rPr>
        <w:t>осуществления</w:t>
      </w:r>
      <w:r w:rsidRPr="003A3978">
        <w:rPr>
          <w:rFonts w:ascii="Times New Roman" w:hAnsi="Times New Roman"/>
          <w:b/>
          <w:sz w:val="28"/>
          <w:szCs w:val="28"/>
        </w:rPr>
        <w:t xml:space="preserve"> выплат к должностным окладам работников муниципальных учреждений, подведомственных отделу культуры администрации 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образования Новокубанский </w:t>
      </w:r>
      <w:r w:rsidRPr="003A3978">
        <w:rPr>
          <w:rFonts w:ascii="Times New Roman" w:hAnsi="Times New Roman"/>
          <w:b/>
          <w:sz w:val="28"/>
          <w:szCs w:val="28"/>
        </w:rPr>
        <w:t xml:space="preserve">район, </w:t>
      </w:r>
      <w:r>
        <w:rPr>
          <w:rFonts w:ascii="Times New Roman" w:hAnsi="Times New Roman"/>
          <w:b/>
          <w:sz w:val="28"/>
          <w:szCs w:val="28"/>
        </w:rPr>
        <w:t>за счет средств муниципального и краевого бюджетов в 2018</w:t>
      </w:r>
      <w:r w:rsidRPr="003A39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75567" w:rsidRPr="003A3978" w:rsidRDefault="00975567" w:rsidP="00975567">
      <w:pPr>
        <w:pStyle w:val="a9"/>
        <w:tabs>
          <w:tab w:val="left" w:pos="567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75567" w:rsidRDefault="00975567" w:rsidP="009755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3F10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975567" w:rsidRPr="00073F10" w:rsidRDefault="00975567" w:rsidP="009755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978">
        <w:rPr>
          <w:rFonts w:ascii="Times New Roman" w:hAnsi="Times New Roman"/>
          <w:sz w:val="28"/>
          <w:szCs w:val="28"/>
        </w:rPr>
        <w:t>В целях поэтапного повышения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3A3978">
        <w:rPr>
          <w:rFonts w:ascii="Times New Roman" w:hAnsi="Times New Roman"/>
          <w:sz w:val="28"/>
          <w:szCs w:val="28"/>
        </w:rPr>
        <w:t xml:space="preserve"> уровня средней заработной платы работников муниципальных учреждений, подведомственных отделу культуры администрации муниципального образования Новокубанский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A3978">
        <w:rPr>
          <w:rFonts w:ascii="Times New Roman" w:hAnsi="Times New Roman"/>
          <w:sz w:val="28"/>
          <w:szCs w:val="28"/>
        </w:rPr>
        <w:t>учреждения)</w:t>
      </w:r>
      <w:r>
        <w:rPr>
          <w:rFonts w:ascii="Times New Roman" w:hAnsi="Times New Roman"/>
          <w:sz w:val="28"/>
          <w:szCs w:val="28"/>
        </w:rPr>
        <w:t>,</w:t>
      </w:r>
      <w:r w:rsidRPr="003A3978">
        <w:rPr>
          <w:rFonts w:ascii="Times New Roman" w:hAnsi="Times New Roman"/>
          <w:sz w:val="28"/>
          <w:szCs w:val="28"/>
        </w:rPr>
        <w:t xml:space="preserve"> устанавливаются выплаты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 w:rsidRPr="003A3978">
        <w:rPr>
          <w:rFonts w:ascii="Times New Roman" w:hAnsi="Times New Roman"/>
          <w:sz w:val="28"/>
          <w:szCs w:val="28"/>
        </w:rPr>
        <w:t xml:space="preserve"> к должностным окладам работников (далее – стимулирующие выплаты) в соответствии с настоящим порядком установления </w:t>
      </w:r>
      <w:r>
        <w:rPr>
          <w:rFonts w:ascii="Times New Roman" w:hAnsi="Times New Roman"/>
          <w:sz w:val="28"/>
          <w:szCs w:val="28"/>
        </w:rPr>
        <w:t xml:space="preserve"> и осуществления </w:t>
      </w:r>
      <w:r w:rsidRPr="003A3978">
        <w:rPr>
          <w:rFonts w:ascii="Times New Roman" w:hAnsi="Times New Roman"/>
          <w:sz w:val="28"/>
          <w:szCs w:val="28"/>
        </w:rPr>
        <w:t>выплат к должностным окладам работников муниципальных учреждений, подведомственных отделу культуры администрации муниципального</w:t>
      </w:r>
      <w:proofErr w:type="gramEnd"/>
      <w:r w:rsidRPr="003A3978">
        <w:rPr>
          <w:rFonts w:ascii="Times New Roman" w:hAnsi="Times New Roman"/>
          <w:sz w:val="28"/>
          <w:szCs w:val="28"/>
        </w:rPr>
        <w:t xml:space="preserve"> образования Новокубанский район, за счет средств</w:t>
      </w:r>
      <w:r>
        <w:rPr>
          <w:rFonts w:ascii="Times New Roman" w:hAnsi="Times New Roman"/>
          <w:sz w:val="28"/>
          <w:szCs w:val="28"/>
        </w:rPr>
        <w:t xml:space="preserve"> муниципального и краевого бюджетов</w:t>
      </w:r>
      <w:r w:rsidRPr="003A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2018 году</w:t>
      </w:r>
      <w:r w:rsidRPr="003A3978">
        <w:rPr>
          <w:rFonts w:ascii="Times New Roman" w:hAnsi="Times New Roman"/>
          <w:sz w:val="28"/>
          <w:szCs w:val="28"/>
        </w:rPr>
        <w:t xml:space="preserve"> (далее - Порядок).</w:t>
      </w:r>
    </w:p>
    <w:p w:rsidR="00975567" w:rsidRPr="00CC68A3" w:rsidRDefault="00975567" w:rsidP="009755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1.1. Стимулирующие выплаты устанавливаются работника</w:t>
      </w:r>
      <w:r>
        <w:rPr>
          <w:rFonts w:ascii="Times New Roman" w:hAnsi="Times New Roman"/>
          <w:sz w:val="28"/>
          <w:szCs w:val="28"/>
        </w:rPr>
        <w:t>м</w:t>
      </w:r>
      <w:r w:rsidRPr="003A3978">
        <w:rPr>
          <w:rFonts w:ascii="Times New Roman" w:hAnsi="Times New Roman"/>
          <w:sz w:val="28"/>
          <w:szCs w:val="28"/>
        </w:rPr>
        <w:t xml:space="preserve"> учреждений культуры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3A3978">
        <w:rPr>
          <w:rFonts w:ascii="Times New Roman" w:hAnsi="Times New Roman"/>
          <w:sz w:val="28"/>
          <w:szCs w:val="28"/>
        </w:rPr>
        <w:t xml:space="preserve">работники) и педагогическим работникам учреждений дополнительного образования детей в области культуры </w:t>
      </w:r>
      <w:r w:rsidRPr="00CC68A3">
        <w:rPr>
          <w:rFonts w:ascii="Times New Roman" w:hAnsi="Times New Roman"/>
          <w:sz w:val="28"/>
          <w:szCs w:val="28"/>
        </w:rPr>
        <w:t>(далее – педагогические работники).</w:t>
      </w: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68A3">
        <w:rPr>
          <w:rFonts w:ascii="Times New Roman" w:hAnsi="Times New Roman"/>
          <w:sz w:val="28"/>
          <w:szCs w:val="28"/>
        </w:rPr>
        <w:t xml:space="preserve">1.2. Целью </w:t>
      </w:r>
      <w:proofErr w:type="gramStart"/>
      <w:r w:rsidRPr="00CC68A3">
        <w:rPr>
          <w:rFonts w:ascii="Times New Roman" w:hAnsi="Times New Roman"/>
          <w:sz w:val="28"/>
          <w:szCs w:val="28"/>
        </w:rPr>
        <w:t xml:space="preserve">создания системы показателей эффективности деятельности </w:t>
      </w:r>
      <w:r w:rsidRPr="003A3978">
        <w:rPr>
          <w:rFonts w:ascii="Times New Roman" w:hAnsi="Times New Roman"/>
          <w:sz w:val="28"/>
          <w:szCs w:val="28"/>
        </w:rPr>
        <w:t>работников</w:t>
      </w:r>
      <w:proofErr w:type="gramEnd"/>
      <w:r w:rsidRPr="003A3978">
        <w:rPr>
          <w:rFonts w:ascii="Times New Roman" w:hAnsi="Times New Roman"/>
          <w:sz w:val="28"/>
          <w:szCs w:val="28"/>
        </w:rPr>
        <w:t xml:space="preserve"> и педагогических работников учреждений является увеличение открытости, объективности и справедливости при установлении им стимулирующих выплат, повышения их мотивации к качественным результатам труда, росту ответственности и заинтересованности в достижении поставленных целей, задач и повышения уровня их средней заработной платы.</w:t>
      </w:r>
    </w:p>
    <w:p w:rsidR="00975567" w:rsidRPr="003A3978" w:rsidRDefault="00975567" w:rsidP="009755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1.3. При установлении стимулирующих выплат показатели эффективности и результативности деятельности определяются по категориям работников учреждения культуры, педагогических работников учреждения.</w:t>
      </w: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1.4. Перечень показателей эффективности и результати</w:t>
      </w:r>
      <w:r>
        <w:rPr>
          <w:rFonts w:ascii="Times New Roman" w:hAnsi="Times New Roman"/>
          <w:sz w:val="28"/>
          <w:szCs w:val="28"/>
        </w:rPr>
        <w:t>вности для работников учреждений</w:t>
      </w:r>
      <w:r w:rsidRPr="003A3978">
        <w:rPr>
          <w:rFonts w:ascii="Times New Roman" w:hAnsi="Times New Roman"/>
          <w:sz w:val="28"/>
          <w:szCs w:val="28"/>
        </w:rPr>
        <w:t xml:space="preserve"> культуры определяется руководителем учреждения с учетом обязанностей каждого.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Перечень показателей эффективности и результативности для педагогических работников определяется руководителем учреждения с учетом должностных обязанностей каждого. </w:t>
      </w:r>
    </w:p>
    <w:p w:rsidR="00975567" w:rsidRPr="003A3978" w:rsidRDefault="00975567" w:rsidP="0097556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1.5. Стимулирующие выплаты к должностным окладам работников </w:t>
      </w:r>
      <w:r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учреждений могут быть </w:t>
      </w:r>
      <w:r w:rsidRPr="003A3978">
        <w:rPr>
          <w:rFonts w:ascii="Times New Roman" w:hAnsi="Times New Roman"/>
          <w:sz w:val="28"/>
          <w:szCs w:val="28"/>
        </w:rPr>
        <w:t xml:space="preserve">установлены </w:t>
      </w:r>
      <w:r w:rsidRPr="003A3978">
        <w:rPr>
          <w:rFonts w:ascii="Times New Roman" w:hAnsi="Times New Roman"/>
          <w:color w:val="000000"/>
          <w:sz w:val="28"/>
          <w:szCs w:val="28"/>
        </w:rPr>
        <w:t xml:space="preserve">за достижение показателей результативности за месяц, квартал, полугодие, год. </w:t>
      </w:r>
    </w:p>
    <w:p w:rsidR="00975567" w:rsidRPr="003A3978" w:rsidRDefault="00975567" w:rsidP="0097556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Стимулирующие выплаты к должностным окладам педагогических работников </w:t>
      </w:r>
      <w:r w:rsidRPr="003A3978">
        <w:rPr>
          <w:rFonts w:ascii="Times New Roman" w:hAnsi="Times New Roman"/>
          <w:spacing w:val="-8"/>
          <w:kern w:val="24"/>
          <w:sz w:val="28"/>
          <w:szCs w:val="28"/>
        </w:rPr>
        <w:t xml:space="preserve">учреждений могут быть установлены </w:t>
      </w:r>
      <w:r w:rsidRPr="003A3978">
        <w:rPr>
          <w:rFonts w:ascii="Times New Roman" w:hAnsi="Times New Roman"/>
          <w:color w:val="000000"/>
          <w:sz w:val="28"/>
          <w:szCs w:val="28"/>
        </w:rPr>
        <w:t>за достижение показателей результативности за месяц, квартал,  учебный период календарного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color w:val="000000"/>
          <w:sz w:val="28"/>
          <w:szCs w:val="28"/>
        </w:rPr>
        <w:t>1.6. Стимулирующие выплаты</w:t>
      </w:r>
      <w:r>
        <w:rPr>
          <w:rFonts w:ascii="Times New Roman" w:hAnsi="Times New Roman"/>
          <w:color w:val="000000"/>
          <w:sz w:val="28"/>
          <w:szCs w:val="28"/>
        </w:rPr>
        <w:t>, являющиеся составной частью заработной платы, устанавливаются в абсолютном размере (в рублях) пропорционально количеству набранных балов в расчетном периоде на основании настоящего Порядка</w:t>
      </w:r>
      <w:r w:rsidRPr="003A3978">
        <w:rPr>
          <w:rFonts w:ascii="Times New Roman" w:hAnsi="Times New Roman"/>
          <w:sz w:val="28"/>
          <w:szCs w:val="28"/>
        </w:rPr>
        <w:t xml:space="preserve">.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1.7. Стоимость одного балла определяется следующим образом: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фонд стимулирующих выплат, определенный на расчетный период, деленный на общее количество баллов, набранных работниками учреждения в расчетном периоде; </w:t>
      </w:r>
    </w:p>
    <w:p w:rsidR="00975567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фонд стимулирующих выплат определенный, на расчетный период, деленный на общее количество баллов, набранных педагогическими работниками в расчетном периоде.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Денежные выплаты стимулирующего характера являются составной частью заработной платы, носят дополнительный характер и производятся по основному месту работы и по основной должности. </w:t>
      </w:r>
    </w:p>
    <w:p w:rsidR="00975567" w:rsidRPr="003A3978" w:rsidRDefault="00975567" w:rsidP="00975567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284"/>
        </w:tabs>
        <w:spacing w:after="0" w:line="240" w:lineRule="auto"/>
        <w:ind w:left="76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2. Организация и сроки проведения оценки деятельности</w:t>
      </w:r>
    </w:p>
    <w:p w:rsidR="00975567" w:rsidRPr="003A3978" w:rsidRDefault="00975567" w:rsidP="00975567">
      <w:pPr>
        <w:pStyle w:val="a9"/>
        <w:tabs>
          <w:tab w:val="left" w:pos="284"/>
        </w:tabs>
        <w:spacing w:after="0" w:line="240" w:lineRule="auto"/>
        <w:ind w:left="148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2.1. Оценка деятельности каждого работника, педагогического работника является постоянным процессом.</w:t>
      </w:r>
    </w:p>
    <w:p w:rsidR="00975567" w:rsidRDefault="00975567" w:rsidP="0097556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 xml:space="preserve">2.2. Оценка деятельности работников, </w:t>
      </w:r>
      <w:r>
        <w:rPr>
          <w:rFonts w:ascii="Times New Roman" w:hAnsi="Times New Roman"/>
          <w:sz w:val="28"/>
          <w:szCs w:val="28"/>
        </w:rPr>
        <w:t>педагогических работников</w:t>
      </w:r>
      <w:r w:rsidRPr="003A3978">
        <w:rPr>
          <w:rFonts w:ascii="Times New Roman" w:hAnsi="Times New Roman"/>
          <w:sz w:val="28"/>
          <w:szCs w:val="28"/>
        </w:rPr>
        <w:t xml:space="preserve"> осуществляется комиссией  по установлению стимулирующих выплат к должностным окладам работников (педагогических работников) учреждения, создаваемой в учреждении (далее - комиссия), на основании предоставленных работником (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 w:rsidRPr="003A3978">
        <w:rPr>
          <w:rFonts w:ascii="Times New Roman" w:hAnsi="Times New Roman"/>
          <w:sz w:val="28"/>
          <w:szCs w:val="28"/>
        </w:rPr>
        <w:t>) материалов, подтверждающих выполнение показателей результативности.</w:t>
      </w:r>
    </w:p>
    <w:p w:rsidR="00975567" w:rsidRPr="003A3978" w:rsidRDefault="00975567" w:rsidP="0097556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3. Общие требования к показателям</w:t>
      </w: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эффективности и результативности деятельности</w:t>
      </w:r>
    </w:p>
    <w:p w:rsidR="00975567" w:rsidRPr="003A3978" w:rsidRDefault="00975567" w:rsidP="0097556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3.1. Показатели эффективности и результативности деятельности определяются и утверждаются руководителем учреждения для каждого работника, п</w:t>
      </w:r>
      <w:r>
        <w:rPr>
          <w:rFonts w:ascii="Times New Roman" w:hAnsi="Times New Roman"/>
          <w:sz w:val="28"/>
          <w:szCs w:val="28"/>
        </w:rPr>
        <w:t>едагогического работника</w:t>
      </w:r>
      <w:r w:rsidRPr="003A3978">
        <w:rPr>
          <w:rFonts w:ascii="Times New Roman" w:hAnsi="Times New Roman"/>
          <w:sz w:val="28"/>
          <w:szCs w:val="28"/>
        </w:rPr>
        <w:t xml:space="preserve">. </w:t>
      </w: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3.2. Показатели эффективности и результативности деятельности работника, педаго</w:t>
      </w:r>
      <w:r>
        <w:rPr>
          <w:rFonts w:ascii="Times New Roman" w:hAnsi="Times New Roman"/>
          <w:sz w:val="28"/>
          <w:szCs w:val="28"/>
        </w:rPr>
        <w:t>гического работника</w:t>
      </w:r>
      <w:r w:rsidRPr="003A3978">
        <w:rPr>
          <w:rFonts w:ascii="Times New Roman" w:hAnsi="Times New Roman"/>
          <w:sz w:val="28"/>
          <w:szCs w:val="28"/>
        </w:rPr>
        <w:t xml:space="preserve"> должны отвечать следующим требованиям: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1) четкость;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2) конкретность;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 xml:space="preserve">3) достижимость; </w:t>
      </w:r>
    </w:p>
    <w:p w:rsidR="00975567" w:rsidRPr="003A3978" w:rsidRDefault="00975567" w:rsidP="00975567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4) измеримость, т.е. возможность оценки показателя;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5) релевантность (адекватность);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6) определенность во времени;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7) комплексность;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3A3978">
        <w:rPr>
          <w:rFonts w:ascii="Times New Roman" w:eastAsia="Batang" w:hAnsi="Times New Roman"/>
          <w:sz w:val="28"/>
          <w:szCs w:val="28"/>
        </w:rPr>
        <w:t>8) непротиворечивость;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9</w:t>
      </w:r>
      <w:r w:rsidRPr="003A3978">
        <w:rPr>
          <w:rFonts w:ascii="Times New Roman" w:eastAsia="Batang" w:hAnsi="Times New Roman"/>
          <w:sz w:val="28"/>
          <w:szCs w:val="28"/>
        </w:rPr>
        <w:t>) соотнесение показателей с целями и задачами учреждения.</w:t>
      </w:r>
    </w:p>
    <w:p w:rsidR="00975567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3A3978">
        <w:rPr>
          <w:rFonts w:ascii="Times New Roman" w:hAnsi="Times New Roman"/>
          <w:sz w:val="28"/>
          <w:szCs w:val="28"/>
        </w:rPr>
        <w:t> Показатели эффективности и результативности деятельности каждого работника,</w:t>
      </w:r>
      <w:r w:rsidRPr="00CC68A3">
        <w:rPr>
          <w:rFonts w:ascii="Times New Roman" w:hAnsi="Times New Roman"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>педаго</w:t>
      </w:r>
      <w:r>
        <w:rPr>
          <w:rFonts w:ascii="Times New Roman" w:hAnsi="Times New Roman"/>
          <w:sz w:val="28"/>
          <w:szCs w:val="28"/>
        </w:rPr>
        <w:t>гического работника</w:t>
      </w:r>
      <w:r w:rsidRPr="003A3978">
        <w:rPr>
          <w:rFonts w:ascii="Times New Roman" w:hAnsi="Times New Roman"/>
          <w:sz w:val="28"/>
          <w:szCs w:val="28"/>
        </w:rPr>
        <w:t xml:space="preserve"> должны охватывать основные направления деятельности учреждения.</w:t>
      </w:r>
    </w:p>
    <w:p w:rsidR="00975567" w:rsidRPr="003A3978" w:rsidRDefault="00975567" w:rsidP="009755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567" w:rsidRDefault="00975567" w:rsidP="0097556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4. Этапы разработки системы показателей эффективности и результативности деятельности работников, педаго</w:t>
      </w:r>
      <w:r>
        <w:rPr>
          <w:rFonts w:ascii="Times New Roman" w:hAnsi="Times New Roman"/>
          <w:b/>
          <w:sz w:val="28"/>
          <w:szCs w:val="28"/>
        </w:rPr>
        <w:t>гических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работников</w:t>
      </w:r>
      <w:r w:rsidRPr="003A3978">
        <w:rPr>
          <w:rFonts w:ascii="Times New Roman" w:hAnsi="Times New Roman"/>
          <w:b/>
          <w:sz w:val="28"/>
          <w:szCs w:val="28"/>
        </w:rPr>
        <w:t xml:space="preserve"> учреждения</w:t>
      </w:r>
    </w:p>
    <w:p w:rsidR="00975567" w:rsidRPr="003A3978" w:rsidRDefault="00975567" w:rsidP="00975567">
      <w:pPr>
        <w:pStyle w:val="a9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Разработка системы показателей эффективности и результативности деятельности работника, педагог</w:t>
      </w:r>
      <w:r>
        <w:rPr>
          <w:rFonts w:ascii="Times New Roman" w:hAnsi="Times New Roman"/>
          <w:sz w:val="28"/>
          <w:szCs w:val="28"/>
        </w:rPr>
        <w:t>ических работников</w:t>
      </w:r>
      <w:r w:rsidRPr="003A3978">
        <w:rPr>
          <w:rFonts w:ascii="Times New Roman" w:hAnsi="Times New Roman"/>
          <w:sz w:val="28"/>
          <w:szCs w:val="28"/>
        </w:rPr>
        <w:t xml:space="preserve"> учреждения включает следующие этапы:</w:t>
      </w: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4.1.  Для каждого работника,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 w:rsidRPr="003A3978">
        <w:rPr>
          <w:rFonts w:ascii="Times New Roman" w:hAnsi="Times New Roman"/>
          <w:sz w:val="28"/>
          <w:szCs w:val="28"/>
        </w:rPr>
        <w:t xml:space="preserve"> руководителем учреждения</w:t>
      </w:r>
      <w:r w:rsidRPr="003A39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A3978">
        <w:rPr>
          <w:rFonts w:ascii="Times New Roman" w:hAnsi="Times New Roman"/>
          <w:sz w:val="28"/>
          <w:szCs w:val="28"/>
        </w:rPr>
        <w:t xml:space="preserve"> разрабатывается форма № 1, т.е.: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1) составляется перечень показателей эффективности и результативности;</w:t>
      </w: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2) проводится ранжирование показателей эффективности и результативности;</w:t>
      </w: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3)  определяется нормативное плановое значение показателя;</w:t>
      </w: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4) проводится описание возможных бальных оценок показателей эффективности и результативности деятельности. Максимальный бал за выполнение нормативного планового значения показателя устанавливается равнозначный для каждого работника</w:t>
      </w:r>
      <w:r>
        <w:rPr>
          <w:rFonts w:ascii="Times New Roman" w:hAnsi="Times New Roman"/>
          <w:sz w:val="28"/>
          <w:szCs w:val="28"/>
        </w:rPr>
        <w:t>, педагогического работника.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4.2. Для установления стимулирующих выплат работникам учреждений культуры целесообразно применять не менее двух и не более трех показателей эффективности и результативности деятельности.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Для установления стимулирующих выплат педагогическим  работникам учреждений дополнительного образования детей в области культуры целесообразно применять не менее трех и не более шести показателей эффективности и результативности деятельности.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4.3. Заполнение формы осуществляется посредством составления ранжированного ряда показателей. 1-й ранг присваивается показателю, имеющему наибольшую значимость (важность) в рамках оценки деятельности работника,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 w:rsidRPr="003A3978">
        <w:rPr>
          <w:rFonts w:ascii="Times New Roman" w:hAnsi="Times New Roman"/>
          <w:sz w:val="28"/>
          <w:szCs w:val="28"/>
        </w:rPr>
        <w:t>, соответственно,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-</w:t>
      </w:r>
      <w:proofErr w:type="spellStart"/>
      <w:r w:rsidRPr="003A3978">
        <w:rPr>
          <w:rFonts w:ascii="Times New Roman" w:hAnsi="Times New Roman"/>
          <w:sz w:val="28"/>
          <w:szCs w:val="28"/>
        </w:rPr>
        <w:t>й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 ранг – показателю с минимальной значимостью. Каждому показателю должен соответствовать один ранг, в исключительных случаях один ранг может быть присвоен не более чем 2-м показателям.</w:t>
      </w:r>
    </w:p>
    <w:p w:rsidR="00975567" w:rsidRPr="003A3978" w:rsidRDefault="00975567" w:rsidP="009755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4.4. Составленная форма № 1 утверждается приказом руководителя учреждения.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Default="00975567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A3978">
        <w:rPr>
          <w:rFonts w:ascii="Times New Roman" w:hAnsi="Times New Roman"/>
          <w:sz w:val="28"/>
          <w:szCs w:val="28"/>
        </w:rPr>
        <w:t>Форма № 1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Система показателей эффективности и результативности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A39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3978">
        <w:rPr>
          <w:rFonts w:ascii="Times New Roman" w:hAnsi="Times New Roman"/>
          <w:sz w:val="28"/>
          <w:szCs w:val="28"/>
        </w:rPr>
        <w:t>__________________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 (наименование должности)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A3978">
        <w:rPr>
          <w:rFonts w:ascii="Times New Roman" w:hAnsi="Times New Roman"/>
          <w:sz w:val="28"/>
          <w:szCs w:val="28"/>
        </w:rPr>
        <w:t xml:space="preserve"> Ф.И.О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55"/>
        <w:gridCol w:w="980"/>
        <w:gridCol w:w="1276"/>
        <w:gridCol w:w="1559"/>
        <w:gridCol w:w="1276"/>
        <w:gridCol w:w="1842"/>
      </w:tblGrid>
      <w:tr w:rsidR="00975567" w:rsidRPr="003A3978" w:rsidTr="0043411C">
        <w:trPr>
          <w:cantSplit/>
          <w:trHeight w:val="1364"/>
          <w:tblHeader/>
        </w:trPr>
        <w:tc>
          <w:tcPr>
            <w:tcW w:w="959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6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65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65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Наименование показа теля (критерия)</w:t>
            </w:r>
          </w:p>
        </w:tc>
        <w:tc>
          <w:tcPr>
            <w:tcW w:w="980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Нормативное (плановое) значение</w:t>
            </w:r>
          </w:p>
        </w:tc>
        <w:tc>
          <w:tcPr>
            <w:tcW w:w="1276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Присвоенный ранг</w:t>
            </w:r>
          </w:p>
        </w:tc>
        <w:tc>
          <w:tcPr>
            <w:tcW w:w="1842" w:type="dxa"/>
            <w:textDirection w:val="btLr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Оценка руководителя</w:t>
            </w:r>
          </w:p>
        </w:tc>
      </w:tr>
      <w:tr w:rsidR="00975567" w:rsidRPr="003A3978" w:rsidTr="0043411C">
        <w:trPr>
          <w:tblHeader/>
        </w:trPr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  <w:r w:rsidRPr="009365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  <w:r w:rsidRPr="0093659E">
              <w:rPr>
                <w:b/>
                <w:sz w:val="24"/>
                <w:szCs w:val="24"/>
              </w:rPr>
              <w:t>7</w:t>
            </w:r>
          </w:p>
        </w:tc>
      </w:tr>
      <w:tr w:rsidR="00975567" w:rsidRPr="003A3978" w:rsidTr="0043411C">
        <w:tc>
          <w:tcPr>
            <w:tcW w:w="9747" w:type="dxa"/>
            <w:gridSpan w:val="7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  <w:r w:rsidRPr="0093659E">
              <w:rPr>
                <w:b/>
                <w:sz w:val="24"/>
                <w:szCs w:val="24"/>
              </w:rPr>
              <w:t>Показатели эффективности</w:t>
            </w: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975567" w:rsidRPr="003A3978" w:rsidTr="0043411C">
        <w:tc>
          <w:tcPr>
            <w:tcW w:w="9747" w:type="dxa"/>
            <w:gridSpan w:val="7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  <w:r w:rsidRPr="0093659E">
              <w:rPr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975567" w:rsidRPr="003A3978" w:rsidTr="0043411C">
        <w:tc>
          <w:tcPr>
            <w:tcW w:w="9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756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75567" w:rsidRPr="0093659E" w:rsidRDefault="00975567" w:rsidP="0043411C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4.5. Используя утвержденную форму № 1 «Система показателей эффективности и результативности» и приведенные ниже формулы  комиссией составляется оценочная форма результатов профессиональной деятельности работника (педагога) (далее – форма № 2).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4.5.1. Важность (вес) показателя определяется комиссией  по формуле:</w:t>
      </w:r>
    </w:p>
    <w:p w:rsidR="00975567" w:rsidRPr="003A3978" w:rsidRDefault="00975567" w:rsidP="009755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  </w:t>
      </w: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 = 1/Р</w:t>
      </w:r>
      <w:proofErr w:type="spellStart"/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* 10,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            </w:t>
      </w: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– важность (вес) показателя (значение округляется до целого числа);</w:t>
      </w: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            Р</w:t>
      </w:r>
      <w:proofErr w:type="spellStart"/>
      <w:proofErr w:type="gramStart"/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3A3978">
        <w:rPr>
          <w:rFonts w:ascii="Times New Roman" w:hAnsi="Times New Roman"/>
          <w:sz w:val="28"/>
          <w:szCs w:val="28"/>
        </w:rPr>
        <w:t xml:space="preserve">– итоговый ранг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-го показателя;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4.5.2. Скорректированная оценка результатов деятельности определяется комиссией по формуле: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*</w:t>
      </w: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>,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– скорректированная оценка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-го показателя деятельности;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978">
        <w:rPr>
          <w:rFonts w:ascii="Times New Roman" w:hAnsi="Times New Roman"/>
          <w:sz w:val="28"/>
          <w:szCs w:val="28"/>
          <w:lang w:val="en-US"/>
        </w:rPr>
        <w:t>O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– оценка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-го показателя деятельности, выставленная руководителем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  <w:lang w:val="en-US"/>
        </w:rPr>
        <w:t>B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A3978">
        <w:rPr>
          <w:rFonts w:ascii="Times New Roman" w:hAnsi="Times New Roman"/>
          <w:sz w:val="28"/>
          <w:szCs w:val="28"/>
        </w:rPr>
        <w:t xml:space="preserve"> – важность (вес)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-го показателя 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>4.5.3.</w:t>
      </w:r>
      <w:r w:rsidRPr="003A3978">
        <w:rPr>
          <w:rFonts w:ascii="Times New Roman" w:hAnsi="Times New Roman"/>
          <w:sz w:val="28"/>
          <w:szCs w:val="28"/>
          <w:lang w:val="en-US"/>
        </w:rPr>
        <w:t> </w:t>
      </w:r>
      <w:r w:rsidRPr="003A3978">
        <w:rPr>
          <w:rFonts w:ascii="Times New Roman" w:hAnsi="Times New Roman"/>
          <w:sz w:val="28"/>
          <w:szCs w:val="28"/>
        </w:rPr>
        <w:t xml:space="preserve">Интегральный показатель деятельности определяется комиссией по формуле: </w:t>
      </w:r>
    </w:p>
    <w:p w:rsidR="00975567" w:rsidRPr="003A3978" w:rsidRDefault="00975567" w:rsidP="00975567">
      <w:pPr>
        <w:spacing w:after="0" w:line="240" w:lineRule="auto"/>
        <w:ind w:left="2124"/>
        <w:jc w:val="both"/>
        <w:rPr>
          <w:rFonts w:ascii="Times New Roman" w:hAnsi="Times New Roman"/>
          <w:i/>
          <w:sz w:val="28"/>
          <w:szCs w:val="28"/>
        </w:rPr>
      </w:pPr>
      <w:r w:rsidRPr="003A3978">
        <w:rPr>
          <w:rFonts w:ascii="Times New Roman" w:hAnsi="Times New Roman"/>
          <w:i/>
          <w:sz w:val="28"/>
          <w:szCs w:val="28"/>
        </w:rPr>
        <w:t xml:space="preserve">  </w:t>
      </w:r>
      <w:proofErr w:type="gramStart"/>
      <w:r w:rsidRPr="003A397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</w:p>
    <w:p w:rsidR="00975567" w:rsidRPr="003A3978" w:rsidRDefault="00975567" w:rsidP="00975567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978">
        <w:rPr>
          <w:rFonts w:ascii="Times New Roman" w:hAnsi="Times New Roman"/>
          <w:sz w:val="28"/>
          <w:szCs w:val="28"/>
        </w:rPr>
        <w:t>Оинт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 =∑ </w:t>
      </w:r>
      <w:r w:rsidRPr="003A3978">
        <w:rPr>
          <w:rFonts w:ascii="Times New Roman" w:hAnsi="Times New Roman"/>
          <w:sz w:val="28"/>
          <w:szCs w:val="28"/>
          <w:lang w:val="en-US"/>
        </w:rPr>
        <w:t></w:t>
      </w:r>
      <w:proofErr w:type="gramStart"/>
      <w:r w:rsidRPr="003A397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proofErr w:type="gramEnd"/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.</w:t>
      </w: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3978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i/>
          <w:sz w:val="28"/>
          <w:szCs w:val="28"/>
        </w:rPr>
        <w:t>=1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где: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3978">
        <w:rPr>
          <w:rFonts w:ascii="Times New Roman" w:hAnsi="Times New Roman"/>
          <w:sz w:val="28"/>
          <w:szCs w:val="28"/>
        </w:rPr>
        <w:t>Оинт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 – интегральный показатель деятельности;</w:t>
      </w:r>
    </w:p>
    <w:p w:rsidR="00975567" w:rsidRPr="003A3978" w:rsidRDefault="00975567" w:rsidP="0097556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978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3A3978">
        <w:rPr>
          <w:rFonts w:ascii="Times New Roman" w:hAnsi="Times New Roman"/>
          <w:sz w:val="28"/>
          <w:szCs w:val="28"/>
        </w:rPr>
        <w:t>кор</w:t>
      </w:r>
      <w:r w:rsidRPr="003A3978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3A3978">
        <w:rPr>
          <w:rFonts w:ascii="Times New Roman" w:hAnsi="Times New Roman"/>
          <w:sz w:val="28"/>
          <w:szCs w:val="28"/>
        </w:rPr>
        <w:t xml:space="preserve"> скорректированная оценка </w:t>
      </w:r>
      <w:proofErr w:type="spellStart"/>
      <w:r w:rsidRPr="003A3978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A3978">
        <w:rPr>
          <w:rFonts w:ascii="Times New Roman" w:hAnsi="Times New Roman"/>
          <w:sz w:val="28"/>
          <w:szCs w:val="28"/>
        </w:rPr>
        <w:t>-го показателя деятельности.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4.6.</w:t>
      </w:r>
      <w:r w:rsidRPr="003A3978">
        <w:rPr>
          <w:rFonts w:ascii="Times New Roman" w:hAnsi="Times New Roman"/>
          <w:sz w:val="28"/>
          <w:szCs w:val="28"/>
          <w:lang w:val="en-US"/>
        </w:rPr>
        <w:t> </w:t>
      </w:r>
      <w:r w:rsidRPr="003A3978">
        <w:rPr>
          <w:rFonts w:ascii="Times New Roman" w:hAnsi="Times New Roman"/>
          <w:sz w:val="28"/>
          <w:szCs w:val="28"/>
        </w:rPr>
        <w:t xml:space="preserve">Интегральный показатель деятельности лежит в основе определения стимулирующей надбавки работнику, </w:t>
      </w:r>
      <w:r>
        <w:rPr>
          <w:rFonts w:ascii="Times New Roman" w:hAnsi="Times New Roman"/>
          <w:sz w:val="28"/>
          <w:szCs w:val="28"/>
        </w:rPr>
        <w:t>педагогическому работнику</w:t>
      </w:r>
      <w:r w:rsidRPr="003A3978">
        <w:rPr>
          <w:rFonts w:ascii="Times New Roman" w:hAnsi="Times New Roman"/>
          <w:sz w:val="28"/>
          <w:szCs w:val="28"/>
        </w:rPr>
        <w:t>.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4.7. Протокол комиссии, в котором установлено количество балов, полученных каждым работником, </w:t>
      </w:r>
      <w:r>
        <w:rPr>
          <w:rFonts w:ascii="Times New Roman" w:hAnsi="Times New Roman"/>
          <w:sz w:val="28"/>
          <w:szCs w:val="28"/>
        </w:rPr>
        <w:t>педагогическим работником</w:t>
      </w:r>
      <w:r w:rsidRPr="003A3978">
        <w:rPr>
          <w:rFonts w:ascii="Times New Roman" w:hAnsi="Times New Roman"/>
          <w:sz w:val="28"/>
          <w:szCs w:val="28"/>
        </w:rPr>
        <w:t xml:space="preserve"> передается руководителю соответствующего учреждения для определения стимулирующей надбавки в денежном выражении.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4.8. Стоимость одного балла определяется следующим образом: </w:t>
      </w:r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3978">
        <w:rPr>
          <w:rFonts w:ascii="Times New Roman" w:hAnsi="Times New Roman"/>
          <w:sz w:val="28"/>
          <w:szCs w:val="28"/>
        </w:rPr>
        <w:t>фонд стимулирующих выплат, определенный на расчетный период, деленный на общее количество баллов набранных работниками учреждения в расчетном периоде;</w:t>
      </w:r>
      <w:proofErr w:type="gramEnd"/>
    </w:p>
    <w:p w:rsidR="00975567" w:rsidRPr="003A3978" w:rsidRDefault="00975567" w:rsidP="0097556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фонд стимулирующих выплат, определенный на расчетный период, деленный на общее количество баллов набранных педагогическими работниками в расчетном периоде. </w:t>
      </w:r>
    </w:p>
    <w:p w:rsidR="00975567" w:rsidRPr="003A3978" w:rsidRDefault="00975567" w:rsidP="009755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4.9. Сумма стимулирующей выплаты равна произведению стоимости одного балла на количество баллов</w:t>
      </w:r>
      <w:r>
        <w:rPr>
          <w:rFonts w:ascii="Times New Roman" w:hAnsi="Times New Roman"/>
          <w:sz w:val="28"/>
          <w:szCs w:val="28"/>
        </w:rPr>
        <w:t xml:space="preserve"> набранных работником, педагогическим работником</w:t>
      </w:r>
      <w:r w:rsidRPr="003A3978">
        <w:rPr>
          <w:rFonts w:ascii="Times New Roman" w:hAnsi="Times New Roman"/>
          <w:sz w:val="28"/>
          <w:szCs w:val="28"/>
        </w:rPr>
        <w:t xml:space="preserve"> в расчетном периоде</w:t>
      </w:r>
      <w:r>
        <w:rPr>
          <w:rFonts w:ascii="Times New Roman" w:hAnsi="Times New Roman"/>
          <w:sz w:val="28"/>
          <w:szCs w:val="28"/>
        </w:rPr>
        <w:t>.</w:t>
      </w:r>
    </w:p>
    <w:p w:rsidR="00975567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ab/>
        <w:t xml:space="preserve">4.10. Результат определения суммы стимулирующей надбавки работника, </w:t>
      </w:r>
      <w:r>
        <w:rPr>
          <w:rFonts w:ascii="Times New Roman" w:hAnsi="Times New Roman"/>
          <w:sz w:val="28"/>
          <w:szCs w:val="28"/>
        </w:rPr>
        <w:t>педагогического работника</w:t>
      </w:r>
      <w:r w:rsidRPr="003A3978">
        <w:rPr>
          <w:rFonts w:ascii="Times New Roman" w:hAnsi="Times New Roman"/>
          <w:sz w:val="28"/>
          <w:szCs w:val="28"/>
        </w:rPr>
        <w:t xml:space="preserve"> утверждается приказом руководителя соответствующего учреждения и выплачивается работнику, педагогическому работнику.</w:t>
      </w:r>
    </w:p>
    <w:p w:rsidR="00975567" w:rsidRPr="003A3978" w:rsidRDefault="00975567" w:rsidP="009755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tabs>
          <w:tab w:val="left" w:pos="0"/>
        </w:tabs>
        <w:ind w:left="644"/>
        <w:jc w:val="right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>Форма № 2</w:t>
      </w:r>
    </w:p>
    <w:p w:rsidR="00975567" w:rsidRPr="003A3978" w:rsidRDefault="00975567" w:rsidP="009755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78">
        <w:rPr>
          <w:rFonts w:ascii="Times New Roman" w:hAnsi="Times New Roman"/>
          <w:b/>
          <w:sz w:val="28"/>
          <w:szCs w:val="28"/>
        </w:rPr>
        <w:t>Оценка результатов профессиональной деятельности работника (педагога)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__________________________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A3978">
        <w:rPr>
          <w:rFonts w:ascii="Times New Roman" w:hAnsi="Times New Roman"/>
          <w:sz w:val="28"/>
          <w:szCs w:val="28"/>
        </w:rPr>
        <w:t xml:space="preserve">   __________________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 (наименование должности)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A3978">
        <w:rPr>
          <w:rFonts w:ascii="Times New Roman" w:hAnsi="Times New Roman"/>
          <w:sz w:val="28"/>
          <w:szCs w:val="28"/>
        </w:rPr>
        <w:t xml:space="preserve"> Ф.И.О</w:t>
      </w:r>
    </w:p>
    <w:p w:rsidR="00975567" w:rsidRPr="003A3978" w:rsidRDefault="00975567" w:rsidP="0097556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417"/>
        <w:gridCol w:w="992"/>
        <w:gridCol w:w="993"/>
        <w:gridCol w:w="1275"/>
        <w:gridCol w:w="1418"/>
        <w:gridCol w:w="1559"/>
      </w:tblGrid>
      <w:tr w:rsidR="00975567" w:rsidRPr="003A3978" w:rsidTr="0043411C">
        <w:tc>
          <w:tcPr>
            <w:tcW w:w="817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казатели</w:t>
            </w:r>
            <w:proofErr w:type="spellEnd"/>
            <w:proofErr w:type="gramEnd"/>
          </w:p>
        </w:tc>
        <w:tc>
          <w:tcPr>
            <w:tcW w:w="1418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Ранг </w:t>
            </w:r>
            <w:proofErr w:type="spellStart"/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ля</w:t>
            </w:r>
            <w:proofErr w:type="gram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(устанавливается руководителем)</w:t>
            </w:r>
          </w:p>
        </w:tc>
        <w:tc>
          <w:tcPr>
            <w:tcW w:w="1417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Вес </w:t>
            </w:r>
            <w:proofErr w:type="spellStart"/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ля</w:t>
            </w:r>
            <w:proofErr w:type="gram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(устанавливается  по формуле)</w:t>
            </w:r>
          </w:p>
        </w:tc>
        <w:tc>
          <w:tcPr>
            <w:tcW w:w="992" w:type="dxa"/>
          </w:tcPr>
          <w:p w:rsidR="00975567" w:rsidRPr="0093659E" w:rsidRDefault="00975567" w:rsidP="0043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Норматив </w:t>
            </w:r>
            <w:proofErr w:type="spell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(плановое) значение </w:t>
            </w:r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пока </w:t>
            </w:r>
            <w:proofErr w:type="spell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993" w:type="dxa"/>
          </w:tcPr>
          <w:p w:rsidR="00975567" w:rsidRPr="0093659E" w:rsidRDefault="00975567" w:rsidP="0043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Фактичес</w:t>
            </w:r>
            <w:proofErr w:type="spell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кое</w:t>
            </w:r>
            <w:proofErr w:type="gram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значение показателя</w:t>
            </w:r>
          </w:p>
        </w:tc>
        <w:tc>
          <w:tcPr>
            <w:tcW w:w="1275" w:type="dxa"/>
          </w:tcPr>
          <w:p w:rsidR="00975567" w:rsidRPr="0093659E" w:rsidRDefault="00975567" w:rsidP="0043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Оценка  (устанавливается  руководителем учреждения)</w:t>
            </w:r>
          </w:p>
        </w:tc>
        <w:tc>
          <w:tcPr>
            <w:tcW w:w="1418" w:type="dxa"/>
          </w:tcPr>
          <w:p w:rsidR="00975567" w:rsidRPr="0093659E" w:rsidRDefault="00975567" w:rsidP="0043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Скорректирован </w:t>
            </w:r>
            <w:proofErr w:type="spellStart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ная</w:t>
            </w:r>
            <w:proofErr w:type="spellEnd"/>
            <w:proofErr w:type="gramEnd"/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оценка (устанавливается  по формуле)</w:t>
            </w:r>
          </w:p>
        </w:tc>
        <w:tc>
          <w:tcPr>
            <w:tcW w:w="1559" w:type="dxa"/>
          </w:tcPr>
          <w:p w:rsidR="00975567" w:rsidRPr="0093659E" w:rsidRDefault="00975567" w:rsidP="004341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Интегральный показатель (устанавливается  по формуле) (баллы)</w:t>
            </w:r>
          </w:p>
        </w:tc>
      </w:tr>
      <w:tr w:rsidR="00975567" w:rsidRPr="003A3978" w:rsidTr="0043411C">
        <w:tc>
          <w:tcPr>
            <w:tcW w:w="817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75567" w:rsidRPr="0093659E" w:rsidRDefault="00975567" w:rsidP="004341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5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567" w:rsidRPr="003A3978" w:rsidRDefault="00975567" w:rsidP="00975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3A397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75567" w:rsidRPr="003A3978" w:rsidRDefault="00975567" w:rsidP="009755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3978">
        <w:rPr>
          <w:rFonts w:ascii="Times New Roman" w:hAnsi="Times New Roman"/>
          <w:sz w:val="28"/>
          <w:szCs w:val="28"/>
        </w:rPr>
        <w:t xml:space="preserve">образования Новокубанский район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А.В.Цветков</w:t>
      </w:r>
    </w:p>
    <w:p w:rsidR="00F03D58" w:rsidRPr="00F33BA1" w:rsidRDefault="00F03D58" w:rsidP="00F33BA1">
      <w:pPr>
        <w:rPr>
          <w:szCs w:val="28"/>
        </w:rPr>
      </w:pPr>
    </w:p>
    <w:sectPr w:rsidR="00F03D58" w:rsidRPr="00F33BA1" w:rsidSect="008B561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EB3" w:rsidRDefault="00473EB3" w:rsidP="00FF623B">
      <w:pPr>
        <w:spacing w:after="0" w:line="240" w:lineRule="auto"/>
      </w:pPr>
      <w:r>
        <w:separator/>
      </w:r>
    </w:p>
  </w:endnote>
  <w:endnote w:type="continuationSeparator" w:id="0">
    <w:p w:rsidR="00473EB3" w:rsidRDefault="00473EB3" w:rsidP="00FF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EB3" w:rsidRDefault="00473EB3" w:rsidP="00FF623B">
      <w:pPr>
        <w:spacing w:after="0" w:line="240" w:lineRule="auto"/>
      </w:pPr>
      <w:r>
        <w:separator/>
      </w:r>
    </w:p>
  </w:footnote>
  <w:footnote w:type="continuationSeparator" w:id="0">
    <w:p w:rsidR="00473EB3" w:rsidRDefault="00473EB3" w:rsidP="00FF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58" w:rsidRDefault="00A9555A">
    <w:pPr>
      <w:pStyle w:val="a5"/>
      <w:jc w:val="center"/>
    </w:pPr>
    <w:fldSimple w:instr=" PAGE   \* MERGEFORMAT ">
      <w:r w:rsidR="00975567">
        <w:rPr>
          <w:noProof/>
        </w:rPr>
        <w:t>7</w:t>
      </w:r>
    </w:fldSimple>
  </w:p>
  <w:p w:rsidR="00F03D58" w:rsidRDefault="00F03D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58"/>
    <w:rsid w:val="0003220A"/>
    <w:rsid w:val="00033852"/>
    <w:rsid w:val="000379BE"/>
    <w:rsid w:val="00037E42"/>
    <w:rsid w:val="0004345B"/>
    <w:rsid w:val="0006086F"/>
    <w:rsid w:val="00061D97"/>
    <w:rsid w:val="0007071F"/>
    <w:rsid w:val="0008258B"/>
    <w:rsid w:val="000827BB"/>
    <w:rsid w:val="000855FD"/>
    <w:rsid w:val="0009798D"/>
    <w:rsid w:val="000B1392"/>
    <w:rsid w:val="000B1B7F"/>
    <w:rsid w:val="000B27B5"/>
    <w:rsid w:val="000B3864"/>
    <w:rsid w:val="000B6486"/>
    <w:rsid w:val="000B7E2B"/>
    <w:rsid w:val="000C1A74"/>
    <w:rsid w:val="000D0412"/>
    <w:rsid w:val="000E713F"/>
    <w:rsid w:val="000F0488"/>
    <w:rsid w:val="00107254"/>
    <w:rsid w:val="0011484D"/>
    <w:rsid w:val="001157BE"/>
    <w:rsid w:val="001229CE"/>
    <w:rsid w:val="00125007"/>
    <w:rsid w:val="00125EBA"/>
    <w:rsid w:val="001272DC"/>
    <w:rsid w:val="00131588"/>
    <w:rsid w:val="00137C6F"/>
    <w:rsid w:val="00141B0B"/>
    <w:rsid w:val="00146510"/>
    <w:rsid w:val="0014690A"/>
    <w:rsid w:val="001530BC"/>
    <w:rsid w:val="0016054B"/>
    <w:rsid w:val="00162A05"/>
    <w:rsid w:val="00173502"/>
    <w:rsid w:val="00181378"/>
    <w:rsid w:val="00181CA6"/>
    <w:rsid w:val="00191992"/>
    <w:rsid w:val="00192E48"/>
    <w:rsid w:val="001A3B23"/>
    <w:rsid w:val="001A4E36"/>
    <w:rsid w:val="001A6F09"/>
    <w:rsid w:val="001B5C7D"/>
    <w:rsid w:val="001C68C8"/>
    <w:rsid w:val="001E059E"/>
    <w:rsid w:val="001E353F"/>
    <w:rsid w:val="00237D1F"/>
    <w:rsid w:val="0024587A"/>
    <w:rsid w:val="002469FF"/>
    <w:rsid w:val="00250A6A"/>
    <w:rsid w:val="002565CD"/>
    <w:rsid w:val="00257373"/>
    <w:rsid w:val="0027503B"/>
    <w:rsid w:val="00285914"/>
    <w:rsid w:val="00286480"/>
    <w:rsid w:val="002868DE"/>
    <w:rsid w:val="00296AE3"/>
    <w:rsid w:val="002A0210"/>
    <w:rsid w:val="002A1AB0"/>
    <w:rsid w:val="002A1EC8"/>
    <w:rsid w:val="002A602A"/>
    <w:rsid w:val="002A660F"/>
    <w:rsid w:val="002A687D"/>
    <w:rsid w:val="002F29DB"/>
    <w:rsid w:val="00301BBF"/>
    <w:rsid w:val="00304277"/>
    <w:rsid w:val="0031048D"/>
    <w:rsid w:val="00312A0B"/>
    <w:rsid w:val="00313BAE"/>
    <w:rsid w:val="003143E1"/>
    <w:rsid w:val="00314D91"/>
    <w:rsid w:val="00316CF0"/>
    <w:rsid w:val="003175AF"/>
    <w:rsid w:val="00324DB2"/>
    <w:rsid w:val="003365FE"/>
    <w:rsid w:val="0035052C"/>
    <w:rsid w:val="00366297"/>
    <w:rsid w:val="00373F8B"/>
    <w:rsid w:val="00375009"/>
    <w:rsid w:val="003766E2"/>
    <w:rsid w:val="0038154B"/>
    <w:rsid w:val="0039110C"/>
    <w:rsid w:val="00393BA3"/>
    <w:rsid w:val="00396923"/>
    <w:rsid w:val="003A7917"/>
    <w:rsid w:val="003B7E96"/>
    <w:rsid w:val="003C33C7"/>
    <w:rsid w:val="003C7186"/>
    <w:rsid w:val="003D04B4"/>
    <w:rsid w:val="003D1094"/>
    <w:rsid w:val="003E0152"/>
    <w:rsid w:val="003E2E15"/>
    <w:rsid w:val="003E7B0F"/>
    <w:rsid w:val="003F5A2B"/>
    <w:rsid w:val="004102E6"/>
    <w:rsid w:val="00414959"/>
    <w:rsid w:val="00417836"/>
    <w:rsid w:val="00422084"/>
    <w:rsid w:val="0042400E"/>
    <w:rsid w:val="00430245"/>
    <w:rsid w:val="00430F4C"/>
    <w:rsid w:val="004374DC"/>
    <w:rsid w:val="00446920"/>
    <w:rsid w:val="004471AD"/>
    <w:rsid w:val="00462C0C"/>
    <w:rsid w:val="0047013A"/>
    <w:rsid w:val="00473EB3"/>
    <w:rsid w:val="004774BF"/>
    <w:rsid w:val="00483A45"/>
    <w:rsid w:val="0048653A"/>
    <w:rsid w:val="004974F0"/>
    <w:rsid w:val="004B7E00"/>
    <w:rsid w:val="004E229B"/>
    <w:rsid w:val="004F1B3F"/>
    <w:rsid w:val="005035B0"/>
    <w:rsid w:val="005058FA"/>
    <w:rsid w:val="005125FC"/>
    <w:rsid w:val="0051262F"/>
    <w:rsid w:val="00525345"/>
    <w:rsid w:val="00526031"/>
    <w:rsid w:val="00526258"/>
    <w:rsid w:val="00541CCD"/>
    <w:rsid w:val="00542340"/>
    <w:rsid w:val="00563951"/>
    <w:rsid w:val="00580B8A"/>
    <w:rsid w:val="00590195"/>
    <w:rsid w:val="005A12FB"/>
    <w:rsid w:val="005A4B68"/>
    <w:rsid w:val="005B0D20"/>
    <w:rsid w:val="005C417F"/>
    <w:rsid w:val="005C6819"/>
    <w:rsid w:val="005D44EA"/>
    <w:rsid w:val="005E15B4"/>
    <w:rsid w:val="005E35BB"/>
    <w:rsid w:val="005F0ECE"/>
    <w:rsid w:val="005F26C0"/>
    <w:rsid w:val="005F6999"/>
    <w:rsid w:val="006010EE"/>
    <w:rsid w:val="00601AB0"/>
    <w:rsid w:val="00617D83"/>
    <w:rsid w:val="00625CD5"/>
    <w:rsid w:val="0062749B"/>
    <w:rsid w:val="00642690"/>
    <w:rsid w:val="00645870"/>
    <w:rsid w:val="006478D0"/>
    <w:rsid w:val="00681CE1"/>
    <w:rsid w:val="00693C00"/>
    <w:rsid w:val="0069676B"/>
    <w:rsid w:val="006B5931"/>
    <w:rsid w:val="006C0AC4"/>
    <w:rsid w:val="006D6527"/>
    <w:rsid w:val="006E471F"/>
    <w:rsid w:val="006F2B4B"/>
    <w:rsid w:val="007004A7"/>
    <w:rsid w:val="00712890"/>
    <w:rsid w:val="00713838"/>
    <w:rsid w:val="00713CB9"/>
    <w:rsid w:val="00713EF8"/>
    <w:rsid w:val="00716C05"/>
    <w:rsid w:val="00717A28"/>
    <w:rsid w:val="00727D45"/>
    <w:rsid w:val="0074495F"/>
    <w:rsid w:val="007465F4"/>
    <w:rsid w:val="007527C7"/>
    <w:rsid w:val="0075358F"/>
    <w:rsid w:val="00764617"/>
    <w:rsid w:val="0077359B"/>
    <w:rsid w:val="007748DB"/>
    <w:rsid w:val="00774EF2"/>
    <w:rsid w:val="00777A7E"/>
    <w:rsid w:val="007822A2"/>
    <w:rsid w:val="00784E77"/>
    <w:rsid w:val="00792699"/>
    <w:rsid w:val="00794B9B"/>
    <w:rsid w:val="007A07C8"/>
    <w:rsid w:val="007B0433"/>
    <w:rsid w:val="007B21B8"/>
    <w:rsid w:val="007C04F3"/>
    <w:rsid w:val="007C0ED5"/>
    <w:rsid w:val="007C2C55"/>
    <w:rsid w:val="007C334B"/>
    <w:rsid w:val="007C47ED"/>
    <w:rsid w:val="007C76A8"/>
    <w:rsid w:val="007C773B"/>
    <w:rsid w:val="007D6759"/>
    <w:rsid w:val="007D749C"/>
    <w:rsid w:val="007D7BCD"/>
    <w:rsid w:val="00805039"/>
    <w:rsid w:val="00814299"/>
    <w:rsid w:val="00824A7B"/>
    <w:rsid w:val="00833F6E"/>
    <w:rsid w:val="00840100"/>
    <w:rsid w:val="00847DBF"/>
    <w:rsid w:val="0086245B"/>
    <w:rsid w:val="0086516B"/>
    <w:rsid w:val="008776D9"/>
    <w:rsid w:val="00880927"/>
    <w:rsid w:val="00890219"/>
    <w:rsid w:val="0089413E"/>
    <w:rsid w:val="008A488B"/>
    <w:rsid w:val="008B0111"/>
    <w:rsid w:val="008B1C44"/>
    <w:rsid w:val="008B397E"/>
    <w:rsid w:val="008B5614"/>
    <w:rsid w:val="008C3781"/>
    <w:rsid w:val="008C51A4"/>
    <w:rsid w:val="008D0A1C"/>
    <w:rsid w:val="008D1DDC"/>
    <w:rsid w:val="008E2517"/>
    <w:rsid w:val="008E2830"/>
    <w:rsid w:val="008E5AB9"/>
    <w:rsid w:val="008F1E8B"/>
    <w:rsid w:val="008F592A"/>
    <w:rsid w:val="0090764A"/>
    <w:rsid w:val="00916855"/>
    <w:rsid w:val="00921721"/>
    <w:rsid w:val="0092312A"/>
    <w:rsid w:val="00945503"/>
    <w:rsid w:val="00946C28"/>
    <w:rsid w:val="009543DC"/>
    <w:rsid w:val="009658FB"/>
    <w:rsid w:val="00971495"/>
    <w:rsid w:val="00975567"/>
    <w:rsid w:val="0097726C"/>
    <w:rsid w:val="00986EC0"/>
    <w:rsid w:val="0098796B"/>
    <w:rsid w:val="0099761B"/>
    <w:rsid w:val="009A5783"/>
    <w:rsid w:val="009A7E7A"/>
    <w:rsid w:val="009C3E14"/>
    <w:rsid w:val="009C5FAB"/>
    <w:rsid w:val="009C6C24"/>
    <w:rsid w:val="009D3DC2"/>
    <w:rsid w:val="009D42C0"/>
    <w:rsid w:val="009E430D"/>
    <w:rsid w:val="009E55FA"/>
    <w:rsid w:val="009E64E6"/>
    <w:rsid w:val="009F6BD7"/>
    <w:rsid w:val="00A17665"/>
    <w:rsid w:val="00A43ABB"/>
    <w:rsid w:val="00A4408E"/>
    <w:rsid w:val="00A44DFA"/>
    <w:rsid w:val="00A46391"/>
    <w:rsid w:val="00A73588"/>
    <w:rsid w:val="00A7545D"/>
    <w:rsid w:val="00A82EFD"/>
    <w:rsid w:val="00A915B7"/>
    <w:rsid w:val="00A9555A"/>
    <w:rsid w:val="00A96B1F"/>
    <w:rsid w:val="00A96C43"/>
    <w:rsid w:val="00AA2FE0"/>
    <w:rsid w:val="00AB14BE"/>
    <w:rsid w:val="00AB182F"/>
    <w:rsid w:val="00AB4CAB"/>
    <w:rsid w:val="00AD7FCD"/>
    <w:rsid w:val="00AE0AF0"/>
    <w:rsid w:val="00AF6B78"/>
    <w:rsid w:val="00B2024D"/>
    <w:rsid w:val="00B23C3E"/>
    <w:rsid w:val="00B45CA9"/>
    <w:rsid w:val="00B540E3"/>
    <w:rsid w:val="00B56CE9"/>
    <w:rsid w:val="00B62B09"/>
    <w:rsid w:val="00B66AE3"/>
    <w:rsid w:val="00B71898"/>
    <w:rsid w:val="00B94116"/>
    <w:rsid w:val="00BB34B5"/>
    <w:rsid w:val="00BB35EC"/>
    <w:rsid w:val="00BB6F1D"/>
    <w:rsid w:val="00BD7EC7"/>
    <w:rsid w:val="00BE2237"/>
    <w:rsid w:val="00BF7B14"/>
    <w:rsid w:val="00C033B0"/>
    <w:rsid w:val="00C10D11"/>
    <w:rsid w:val="00C13019"/>
    <w:rsid w:val="00C1356C"/>
    <w:rsid w:val="00C200B8"/>
    <w:rsid w:val="00C2376C"/>
    <w:rsid w:val="00C25101"/>
    <w:rsid w:val="00C36940"/>
    <w:rsid w:val="00C44BFA"/>
    <w:rsid w:val="00C62CF5"/>
    <w:rsid w:val="00C63115"/>
    <w:rsid w:val="00C637F2"/>
    <w:rsid w:val="00C92431"/>
    <w:rsid w:val="00C92699"/>
    <w:rsid w:val="00C92E48"/>
    <w:rsid w:val="00C94286"/>
    <w:rsid w:val="00C9770C"/>
    <w:rsid w:val="00CA0A26"/>
    <w:rsid w:val="00CB0886"/>
    <w:rsid w:val="00CC1B08"/>
    <w:rsid w:val="00CC1F76"/>
    <w:rsid w:val="00CC3F7D"/>
    <w:rsid w:val="00CC5592"/>
    <w:rsid w:val="00CE73D6"/>
    <w:rsid w:val="00D01A3B"/>
    <w:rsid w:val="00D03C2F"/>
    <w:rsid w:val="00D072E0"/>
    <w:rsid w:val="00D1046A"/>
    <w:rsid w:val="00D1147D"/>
    <w:rsid w:val="00D25983"/>
    <w:rsid w:val="00D30304"/>
    <w:rsid w:val="00D36F41"/>
    <w:rsid w:val="00D44A13"/>
    <w:rsid w:val="00D5364D"/>
    <w:rsid w:val="00D56018"/>
    <w:rsid w:val="00D56311"/>
    <w:rsid w:val="00D65F3E"/>
    <w:rsid w:val="00D70D6A"/>
    <w:rsid w:val="00D7236C"/>
    <w:rsid w:val="00D814A9"/>
    <w:rsid w:val="00D815F7"/>
    <w:rsid w:val="00D917C4"/>
    <w:rsid w:val="00D92837"/>
    <w:rsid w:val="00DB0A7C"/>
    <w:rsid w:val="00DB1768"/>
    <w:rsid w:val="00DB594B"/>
    <w:rsid w:val="00DB6766"/>
    <w:rsid w:val="00DC0C78"/>
    <w:rsid w:val="00DC3E20"/>
    <w:rsid w:val="00DC3E81"/>
    <w:rsid w:val="00DC4809"/>
    <w:rsid w:val="00DD1520"/>
    <w:rsid w:val="00E0294E"/>
    <w:rsid w:val="00E02CFC"/>
    <w:rsid w:val="00E135A4"/>
    <w:rsid w:val="00E17B42"/>
    <w:rsid w:val="00E3123E"/>
    <w:rsid w:val="00E378CA"/>
    <w:rsid w:val="00E45DAE"/>
    <w:rsid w:val="00E51063"/>
    <w:rsid w:val="00E56440"/>
    <w:rsid w:val="00E61453"/>
    <w:rsid w:val="00E8488F"/>
    <w:rsid w:val="00EA3D73"/>
    <w:rsid w:val="00EB7BD3"/>
    <w:rsid w:val="00ED38F3"/>
    <w:rsid w:val="00EE552D"/>
    <w:rsid w:val="00EF6DE0"/>
    <w:rsid w:val="00F01AAE"/>
    <w:rsid w:val="00F03D58"/>
    <w:rsid w:val="00F112B2"/>
    <w:rsid w:val="00F1397E"/>
    <w:rsid w:val="00F21B18"/>
    <w:rsid w:val="00F2462D"/>
    <w:rsid w:val="00F25921"/>
    <w:rsid w:val="00F30FE3"/>
    <w:rsid w:val="00F33BA1"/>
    <w:rsid w:val="00F46503"/>
    <w:rsid w:val="00F50F30"/>
    <w:rsid w:val="00F54514"/>
    <w:rsid w:val="00F55699"/>
    <w:rsid w:val="00F56AEA"/>
    <w:rsid w:val="00F722BC"/>
    <w:rsid w:val="00F72F0F"/>
    <w:rsid w:val="00F74466"/>
    <w:rsid w:val="00F75BE3"/>
    <w:rsid w:val="00F820D3"/>
    <w:rsid w:val="00F82107"/>
    <w:rsid w:val="00F849BA"/>
    <w:rsid w:val="00F8593E"/>
    <w:rsid w:val="00F87E83"/>
    <w:rsid w:val="00F95743"/>
    <w:rsid w:val="00F9664A"/>
    <w:rsid w:val="00FA4F1A"/>
    <w:rsid w:val="00FA717C"/>
    <w:rsid w:val="00FB71FF"/>
    <w:rsid w:val="00FC1478"/>
    <w:rsid w:val="00FC3737"/>
    <w:rsid w:val="00FD0255"/>
    <w:rsid w:val="00FD1126"/>
    <w:rsid w:val="00FD154A"/>
    <w:rsid w:val="00FD6799"/>
    <w:rsid w:val="00FE4E44"/>
    <w:rsid w:val="00FF623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40E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623B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FF6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F623B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975567"/>
    <w:pPr>
      <w:ind w:left="720"/>
      <w:contextualSpacing/>
    </w:pPr>
    <w:rPr>
      <w:rFonts w:eastAsia="Calibri"/>
      <w:lang w:eastAsia="en-US"/>
    </w:rPr>
  </w:style>
  <w:style w:type="paragraph" w:styleId="aa">
    <w:name w:val="No Spacing"/>
    <w:uiPriority w:val="1"/>
    <w:qFormat/>
    <w:rsid w:val="00975567"/>
    <w:pPr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1924</Words>
  <Characters>10971</Characters>
  <Application>Microsoft Office Word</Application>
  <DocSecurity>0</DocSecurity>
  <Lines>91</Lines>
  <Paragraphs>25</Paragraphs>
  <ScaleCrop>false</ScaleCrop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культура</dc:creator>
  <cp:keywords/>
  <dc:description/>
  <cp:lastModifiedBy>evgeniya</cp:lastModifiedBy>
  <cp:revision>23</cp:revision>
  <cp:lastPrinted>2018-02-08T06:13:00Z</cp:lastPrinted>
  <dcterms:created xsi:type="dcterms:W3CDTF">2015-02-05T12:42:00Z</dcterms:created>
  <dcterms:modified xsi:type="dcterms:W3CDTF">2018-02-13T13:14:00Z</dcterms:modified>
</cp:coreProperties>
</file>