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КРАСНОДАРСКИЙ КРАЙ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НОВОКУБАНСКИЙ РАЙОН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НОВОКУБАНСКИЙ РАЙОН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ПОСТАНОВЛЕНИЕ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sz w:val="24"/>
          <w:szCs w:val="24"/>
        </w:rPr>
        <w:t>13 ноября 2018 года</w:t>
      </w:r>
      <w:r w:rsidRPr="007B33DB">
        <w:rPr>
          <w:rFonts w:ascii="Arial" w:hAnsi="Arial" w:cs="Arial"/>
          <w:sz w:val="24"/>
          <w:szCs w:val="24"/>
        </w:rPr>
        <w:tab/>
      </w:r>
      <w:r w:rsidRPr="007B33DB">
        <w:rPr>
          <w:rFonts w:ascii="Arial" w:hAnsi="Arial" w:cs="Arial"/>
          <w:sz w:val="24"/>
          <w:szCs w:val="24"/>
        </w:rPr>
        <w:tab/>
        <w:t>№ 1452</w:t>
      </w:r>
      <w:r w:rsidRPr="007B33DB">
        <w:rPr>
          <w:rFonts w:ascii="Arial" w:hAnsi="Arial" w:cs="Arial"/>
          <w:sz w:val="24"/>
          <w:szCs w:val="24"/>
        </w:rPr>
        <w:tab/>
      </w:r>
      <w:r w:rsidRPr="007B33DB">
        <w:rPr>
          <w:rFonts w:ascii="Arial" w:hAnsi="Arial" w:cs="Arial"/>
          <w:sz w:val="24"/>
          <w:szCs w:val="24"/>
        </w:rPr>
        <w:tab/>
        <w:t>г. Новокубанск</w:t>
      </w:r>
    </w:p>
    <w:p w:rsidR="007B33DB" w:rsidRPr="007B33DB" w:rsidRDefault="007B33DB" w:rsidP="007B33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776C" w:rsidRPr="007B33DB" w:rsidRDefault="0061776C" w:rsidP="007B3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3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муниципальными автономными учреждениями спортивными школами «Крепыш» им. </w:t>
      </w:r>
      <w:proofErr w:type="spellStart"/>
      <w:r w:rsidRPr="007B33DB">
        <w:rPr>
          <w:rFonts w:ascii="Arial" w:eastAsia="Times New Roman" w:hAnsi="Arial" w:cs="Arial"/>
          <w:b/>
          <w:sz w:val="32"/>
          <w:szCs w:val="32"/>
          <w:lang w:eastAsia="ru-RU"/>
        </w:rPr>
        <w:t>Тамазова</w:t>
      </w:r>
      <w:proofErr w:type="spellEnd"/>
      <w:r w:rsidRPr="007B33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</w:t>
      </w:r>
    </w:p>
    <w:p w:rsidR="0061776C" w:rsidRPr="007B33DB" w:rsidRDefault="0061776C" w:rsidP="007B3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C03826" w:rsidP="007B3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76C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26 декабря 2012 года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№ 273-ФЗ «Об образовании в Российской Федерации», решением Совета муниципального образования Новокубанский район от 24 марта 2015 года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№ 73/96 «Об утверждении Порядка установления тарифов на услуги муниципальных учреждений муниципального образования Новокубанский район» и в целях улучшения материально-технической базы муниципальных автономных учреждений спортивных школ «Крепыш» им.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К.Х. и «Надежда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физической культуре и спорту администрации муниципального образования Новокубанский район,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61776C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предоставления дополнительных платных (сопутствующих) услуг населению, оказываемых муниципальными автономными учреждениями спортивными школами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«Крепыш» им. </w:t>
      </w:r>
      <w:proofErr w:type="spellStart"/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район, согласно приложению № 1 к настоящему постановлению.</w:t>
      </w:r>
    </w:p>
    <w:p w:rsidR="0061776C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Методику расчета тарифов на дополнительные платные (сопутствующие) услуги, оказываемые муниципальными автономными учреждениями спортивными школами «Крепыш» им. </w:t>
      </w:r>
      <w:proofErr w:type="spellStart"/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район, согласно приложению № 2 к настоящему постановлению.</w:t>
      </w:r>
    </w:p>
    <w:p w:rsidR="0061776C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Д.М.Шкареду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776C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61776C" w:rsidRPr="007B33D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61776C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76C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</w:p>
    <w:p w:rsidR="0061776C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03826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Новокубан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>ский район</w:t>
      </w:r>
    </w:p>
    <w:p w:rsidR="00C03826" w:rsidRPr="007B33DB" w:rsidRDefault="0061776C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А.В.Гомодин</w:t>
      </w:r>
      <w:proofErr w:type="spellEnd"/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>Приложение № 1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>УТВЕРЖДЕНО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>Новокубанский район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от </w:t>
      </w:r>
      <w:r w:rsidR="007B33DB">
        <w:rPr>
          <w:rFonts w:ascii="Arial" w:eastAsia="Calibri" w:hAnsi="Arial" w:cs="Arial"/>
          <w:sz w:val="24"/>
          <w:szCs w:val="24"/>
        </w:rPr>
        <w:t>13.11.</w:t>
      </w:r>
      <w:r w:rsidRPr="007B33DB">
        <w:rPr>
          <w:rFonts w:ascii="Arial" w:eastAsia="Calibri" w:hAnsi="Arial" w:cs="Arial"/>
          <w:sz w:val="24"/>
          <w:szCs w:val="24"/>
        </w:rPr>
        <w:t>2018 года №</w:t>
      </w:r>
      <w:r w:rsidR="007B33DB">
        <w:rPr>
          <w:rFonts w:ascii="Arial" w:eastAsia="Calibri" w:hAnsi="Arial" w:cs="Arial"/>
          <w:sz w:val="24"/>
          <w:szCs w:val="24"/>
        </w:rPr>
        <w:t xml:space="preserve"> 1452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3DB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3DB">
        <w:rPr>
          <w:rFonts w:ascii="Arial" w:eastAsia="Calibri" w:hAnsi="Arial" w:cs="Arial"/>
          <w:b/>
          <w:sz w:val="24"/>
          <w:szCs w:val="24"/>
        </w:rPr>
        <w:t xml:space="preserve">о порядке предоставления </w:t>
      </w:r>
      <w:proofErr w:type="gramStart"/>
      <w:r w:rsidRPr="007B33DB">
        <w:rPr>
          <w:rFonts w:ascii="Arial" w:eastAsia="Calibri" w:hAnsi="Arial" w:cs="Arial"/>
          <w:b/>
          <w:sz w:val="24"/>
          <w:szCs w:val="24"/>
        </w:rPr>
        <w:t>дополнительных</w:t>
      </w:r>
      <w:proofErr w:type="gramEnd"/>
      <w:r w:rsidRPr="007B33DB">
        <w:rPr>
          <w:rFonts w:ascii="Arial" w:eastAsia="Calibri" w:hAnsi="Arial" w:cs="Arial"/>
          <w:b/>
          <w:sz w:val="24"/>
          <w:szCs w:val="24"/>
        </w:rPr>
        <w:t xml:space="preserve"> платных</w:t>
      </w: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3DB">
        <w:rPr>
          <w:rFonts w:ascii="Arial" w:eastAsia="Calibri" w:hAnsi="Arial" w:cs="Arial"/>
          <w:b/>
          <w:sz w:val="24"/>
          <w:szCs w:val="24"/>
        </w:rPr>
        <w:t xml:space="preserve"> (сопутствующих) услуг населению, оказываемых муниципальными автономными учреждениями спортивными школами «Крепыш»</w:t>
      </w:r>
      <w:r w:rsidR="00C03826" w:rsidRPr="007B33D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33DB">
        <w:rPr>
          <w:rFonts w:ascii="Arial" w:eastAsia="Calibri" w:hAnsi="Arial" w:cs="Arial"/>
          <w:b/>
          <w:sz w:val="24"/>
          <w:szCs w:val="24"/>
        </w:rPr>
        <w:t xml:space="preserve">им. </w:t>
      </w:r>
      <w:proofErr w:type="spellStart"/>
      <w:r w:rsidRPr="007B33DB">
        <w:rPr>
          <w:rFonts w:ascii="Arial" w:eastAsia="Calibri" w:hAnsi="Arial" w:cs="Arial"/>
          <w:b/>
          <w:sz w:val="24"/>
          <w:szCs w:val="24"/>
        </w:rPr>
        <w:t>Тамазова</w:t>
      </w:r>
      <w:proofErr w:type="spellEnd"/>
      <w:r w:rsidRPr="007B33DB">
        <w:rPr>
          <w:rFonts w:ascii="Arial" w:eastAsia="Calibri" w:hAnsi="Arial" w:cs="Arial"/>
          <w:b/>
          <w:sz w:val="24"/>
          <w:szCs w:val="24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</w:t>
      </w: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Общие положения</w:t>
      </w:r>
    </w:p>
    <w:p w:rsidR="006D42D2" w:rsidRPr="007B33DB" w:rsidRDefault="006D42D2" w:rsidP="007B33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7B33DB">
        <w:rPr>
          <w:rFonts w:ascii="Arial" w:eastAsia="Calibri" w:hAnsi="Arial" w:cs="Arial"/>
          <w:sz w:val="24"/>
          <w:szCs w:val="24"/>
        </w:rPr>
        <w:t>Настоящее Положение разработано в соответствии с Федеральным законом от 26 декабря 2012 года № 273-ФЗ «Об образовании в Российской Федерации», Федеральным законом от 12 января 1996 года № 7-ФЗ «О некоммерческих организациях», Федерального закона от 03 ноября 2006 года № 174-ФЗ «Об автономных учреждениях», Законом Российской Федерации от 7 февраля 1992 года № 2300-1 «О защите прав потребителей» и решением Совета муниципального образования Новокубанский</w:t>
      </w:r>
      <w:proofErr w:type="gramEnd"/>
      <w:r w:rsidRPr="007B33DB">
        <w:rPr>
          <w:rFonts w:ascii="Arial" w:eastAsia="Calibri" w:hAnsi="Arial" w:cs="Arial"/>
          <w:sz w:val="24"/>
          <w:szCs w:val="24"/>
        </w:rPr>
        <w:t xml:space="preserve"> район от 24 марта 2015 года</w:t>
      </w:r>
      <w:r w:rsidR="00C03826" w:rsidRPr="007B33DB">
        <w:rPr>
          <w:rFonts w:ascii="Arial" w:eastAsia="Calibri" w:hAnsi="Arial" w:cs="Arial"/>
          <w:sz w:val="24"/>
          <w:szCs w:val="24"/>
        </w:rPr>
        <w:t xml:space="preserve"> </w:t>
      </w:r>
      <w:r w:rsidRPr="007B33DB">
        <w:rPr>
          <w:rFonts w:ascii="Arial" w:eastAsia="Calibri" w:hAnsi="Arial" w:cs="Arial"/>
          <w:sz w:val="24"/>
          <w:szCs w:val="24"/>
        </w:rPr>
        <w:t>№ 73/96 «Об утверждении Порядка установления тарифов на услуги муниципальных учреждений муниципального образования Новокубанский район».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1.2. Положение разработано в целях наиболее полного удовлетворения потребностей населения и организаций в дополнительных услугах.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1.3. Настоящее Положение устанавливает порядок предоставления дополнительных платных (сопутствующих) услуг, планирования, использования, учета и отчетности доходов от оказания платных (сопутствующих) услуг оказываемых муниципальными автономными учреждениями спортивными школами «Крепыш» им. </w:t>
      </w:r>
      <w:proofErr w:type="spellStart"/>
      <w:r w:rsidRPr="007B33DB">
        <w:rPr>
          <w:rFonts w:ascii="Arial" w:eastAsia="Calibri" w:hAnsi="Arial" w:cs="Arial"/>
          <w:sz w:val="24"/>
          <w:szCs w:val="24"/>
        </w:rPr>
        <w:t>Тамазова</w:t>
      </w:r>
      <w:proofErr w:type="spellEnd"/>
      <w:r w:rsidRPr="007B33DB">
        <w:rPr>
          <w:rFonts w:ascii="Arial" w:eastAsia="Calibri" w:hAnsi="Arial" w:cs="Arial"/>
          <w:sz w:val="24"/>
          <w:szCs w:val="24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 (далее - Учреждения).</w:t>
      </w:r>
    </w:p>
    <w:p w:rsidR="006D42D2" w:rsidRPr="007B33DB" w:rsidRDefault="006D42D2" w:rsidP="007B33DB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 Порядок предоставления дополнительных платных услуг</w:t>
      </w:r>
    </w:p>
    <w:p w:rsidR="006D42D2" w:rsidRPr="007B33DB" w:rsidRDefault="006D42D2" w:rsidP="007B33D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2.1. Потребителями дополнительных платных (сопутствующих) услуг, оказываемых Учреждением, являются физические и юридические лица.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2.2. Основанием для оказания дополнительных платных (сопутствующих) услуг в Учреждении является желание потребителя, обратившегося за услугой, получить ее за плату.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2.3. Дополнительные платные (сопутствующие)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2.4. Учреждение, предоставляющие дополнительные платные (сопутствующие) услуги, обязаны обеспечить граждан и юридических лиц доступной и достоверной информацией путем размещения ее на сайте Учреждения в</w:t>
      </w:r>
      <w:r w:rsidR="00C03826" w:rsidRPr="007B33DB">
        <w:rPr>
          <w:rFonts w:ascii="Arial" w:eastAsia="Calibri" w:hAnsi="Arial" w:cs="Arial"/>
          <w:sz w:val="24"/>
          <w:szCs w:val="24"/>
        </w:rPr>
        <w:t xml:space="preserve"> </w:t>
      </w:r>
      <w:r w:rsidRPr="007B33DB">
        <w:rPr>
          <w:rFonts w:ascii="Arial" w:eastAsia="Calibri" w:hAnsi="Arial" w:cs="Arial"/>
          <w:sz w:val="24"/>
          <w:szCs w:val="24"/>
        </w:rPr>
        <w:t>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наименование Учреждения;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адрес местонахождения;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режим работы Учреждения;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перечень платных услуг с указанием цен в рублях;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сведения о лицензии на осуществление деятельности.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2.5. Перечень дополнительных платных (сопутствующих)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C03826" w:rsidRPr="007B33DB" w:rsidRDefault="00C03826" w:rsidP="007B33DB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 Бухгалтерский учет и порядок оплаты труда</w:t>
      </w:r>
    </w:p>
    <w:p w:rsidR="006D42D2" w:rsidRPr="007B33DB" w:rsidRDefault="006D42D2" w:rsidP="007B33DB">
      <w:pPr>
        <w:spacing w:after="0" w:line="240" w:lineRule="auto"/>
        <w:ind w:left="2136" w:firstLine="567"/>
        <w:contextualSpacing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3.1. Источниками финансирования при оказании дополнительных платных (сопутствующих) услуг являются: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личные средства граждан;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средства юридических лиц вне зависимости от формы собственности;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другие разрешенные законом источники.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3.2. Денежные средства, полученные от оказания дополнительных платных (сопутствующих) услуг, аккумулируются на лицевом счете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3.3. Оплата дополнительных платных (сопутствующих)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3.5. Доходы, полученные от оказания дополнительных платных (сопутствующих)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3.6. Бухгалтерский и статистический учет и отчетность ведутся в соответствии с действующей Инструкцией по ведению бухгалтерского и статистического учета.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Ответственность сторон</w:t>
      </w:r>
    </w:p>
    <w:p w:rsidR="006D42D2" w:rsidRPr="007B33DB" w:rsidRDefault="006D42D2" w:rsidP="007B33DB">
      <w:pPr>
        <w:spacing w:after="0" w:line="240" w:lineRule="auto"/>
        <w:ind w:left="360" w:firstLine="567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4.1. Руководство деятельностью по оказанию дополнительных платных (сопутствующих) услуг осуществляет руководитель Учреждения.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Руководитель Учреждения при осуществлении деятельности по оказанию дополнительных платных (сопутствующих) услуг обеспечивает: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создание условий для осуществления деятельности по оказанию дополнительных платных (сопутствующих) услуг;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подбор специалистов;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распределение времени предоставления дополнительных платных (сопутствующих) услуг;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разрешение конфликтных ситуаций;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организацию и соответствие установленному качеству предоставляемых дополнительных платных (сопутствующих) услуг. 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4.2. </w:t>
      </w:r>
      <w:proofErr w:type="gramStart"/>
      <w:r w:rsidRPr="007B33DB">
        <w:rPr>
          <w:rFonts w:ascii="Arial" w:eastAsia="Calibri" w:hAnsi="Arial" w:cs="Arial"/>
          <w:sz w:val="24"/>
          <w:szCs w:val="24"/>
        </w:rPr>
        <w:t>Ответственность за полноту и своевременность поступления доходов от дополнительных платных (сопутствующих) услуг, расходование средств, неисполнение или ненадлежащее исполнение условий предоставления дополнительных платных (сопутствующих) услуг, несоблюдение требований, предъявляемых к оказанию дополнительных платных (сопутствующих) услуг, неисполнение или ненадлежащее исполнение настоящего Положения, соблюдение законодательства Российской Федерации при предоставлении дополнительных платных (сопутствующих) услуг населению несет руководитель учреждения в установленном законом порядке.</w:t>
      </w:r>
      <w:proofErr w:type="gramEnd"/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4.4. Организация дополнительных платных (сопутствующих) услуг в Учреждении осуществляется в соответствии с настоящим положением, с учетом действующего законодательства.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4.5. Общий </w:t>
      </w:r>
      <w:proofErr w:type="gramStart"/>
      <w:r w:rsidRPr="007B33D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3DB">
        <w:rPr>
          <w:rFonts w:ascii="Arial" w:eastAsia="Calibri" w:hAnsi="Arial" w:cs="Arial"/>
          <w:sz w:val="24"/>
          <w:szCs w:val="24"/>
        </w:rPr>
        <w:t xml:space="preserve"> оказанием Учреждением дополнительных платных (сопутствующих)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4.6. Учредитель вправе приостановить деятельность учреждения по оказанию дополнительных платных (сопутствующих) услуг, если эта деятельность осуществляется в ущерб основной деятельности Учреждения.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4.7. При выявлении случаев оказания дополнительных платных (сопутствующих) услуг с ущербом для основной деятельности или 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 район.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Начальник отдела 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по физической</w:t>
      </w:r>
      <w:r w:rsidR="00C03826" w:rsidRPr="007B33DB">
        <w:rPr>
          <w:rFonts w:ascii="Arial" w:eastAsia="Calibri" w:hAnsi="Arial" w:cs="Arial"/>
          <w:sz w:val="24"/>
          <w:szCs w:val="24"/>
        </w:rPr>
        <w:t xml:space="preserve"> </w:t>
      </w:r>
      <w:r w:rsidRPr="007B33DB">
        <w:rPr>
          <w:rFonts w:ascii="Arial" w:eastAsia="Calibri" w:hAnsi="Arial" w:cs="Arial"/>
          <w:sz w:val="24"/>
          <w:szCs w:val="24"/>
        </w:rPr>
        <w:t xml:space="preserve">культуре и спорту </w:t>
      </w:r>
    </w:p>
    <w:p w:rsidR="006D42D2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 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Calibri" w:hAnsi="Arial" w:cs="Arial"/>
          <w:sz w:val="24"/>
          <w:szCs w:val="24"/>
        </w:rPr>
        <w:t>Новокубанский район</w:t>
      </w:r>
      <w:r w:rsidR="00C03826" w:rsidRPr="007B33DB">
        <w:rPr>
          <w:rFonts w:ascii="Arial" w:eastAsia="Calibri" w:hAnsi="Arial" w:cs="Arial"/>
          <w:sz w:val="24"/>
          <w:szCs w:val="24"/>
        </w:rPr>
        <w:t xml:space="preserve"> </w:t>
      </w:r>
    </w:p>
    <w:p w:rsidR="00C03826" w:rsidRPr="007B33DB" w:rsidRDefault="006D42D2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B33DB">
        <w:rPr>
          <w:rFonts w:ascii="Arial" w:eastAsia="Calibri" w:hAnsi="Arial" w:cs="Arial"/>
          <w:sz w:val="24"/>
          <w:szCs w:val="24"/>
        </w:rPr>
        <w:t>Д.Е.Терников</w:t>
      </w:r>
      <w:proofErr w:type="spellEnd"/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3826" w:rsidRPr="007B33DB" w:rsidRDefault="00C03826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3826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03826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C03826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C03826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03826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33DB">
        <w:rPr>
          <w:rFonts w:ascii="Arial" w:eastAsia="Times New Roman" w:hAnsi="Arial" w:cs="Arial"/>
          <w:sz w:val="24"/>
          <w:szCs w:val="24"/>
          <w:lang w:eastAsia="ru-RU"/>
        </w:rPr>
        <w:t>13.11.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2018 года №</w:t>
      </w:r>
      <w:r w:rsidR="007B33DB">
        <w:rPr>
          <w:rFonts w:ascii="Arial" w:eastAsia="Times New Roman" w:hAnsi="Arial" w:cs="Arial"/>
          <w:sz w:val="24"/>
          <w:szCs w:val="24"/>
          <w:lang w:eastAsia="ru-RU"/>
        </w:rPr>
        <w:t xml:space="preserve"> 1452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>МЕТОДИКА</w:t>
      </w:r>
    </w:p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расчета тарифов на </w:t>
      </w:r>
      <w:proofErr w:type="gramStart"/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дополнительные</w:t>
      </w:r>
      <w:proofErr w:type="gramEnd"/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платные</w:t>
      </w:r>
    </w:p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(сопутствующие) услуги, оказываемые муниципальными автономными учреждениями спортивными школами «Крепыш» им. </w:t>
      </w:r>
      <w:proofErr w:type="spellStart"/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>Тамазова</w:t>
      </w:r>
      <w:proofErr w:type="spellEnd"/>
      <w:r w:rsidRPr="007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</w:t>
      </w:r>
    </w:p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Методика расчета тарифов на дополнительные платные (сопутствующие) услуги, оказываемые муниципальными автономными учреждениями спортивными школами «Крепыш» им.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К.Х. и «Надежда», подведомственными отделу по физической культуре и спорту администрации муниципального образования Новокубанский район (далее - Учреждения), разработана в соответствии с Налоговым кодексом Российской Федерации, Федеральным законом от 12 января 1996 года № 7-ФЗ «О некоммерческих организациях», Федеральным законом от 03 ноября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2006 года № 174-ФЗ «Об автономных учреждениях», Законом Российской Федерации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от 07 февраля 1992 года № 2300-1 «О защите прав потребителей». Настоящая Методика разработана в целях установления единого механизма формирования тарифа на дополнительные платные (сопутствующие) услуги, оказываемые Учреждением.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1.2. Учреждения самостоятельно определяют возможность и объем оказания дополнительных платных (сопутствующих) услуг, исходя из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1.3. Учреждения формируют перечень услуг, оказываемых за плату, а также производят расчет тарифа услуги и представляют его для учреждения в администрацию муниципального образования Новокубанский район.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CD371B" w:rsidRPr="007B33DB" w:rsidRDefault="00CD371B" w:rsidP="007B33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 Расчет тарифа</w:t>
      </w:r>
    </w:p>
    <w:p w:rsidR="00CD371B" w:rsidRPr="007B33DB" w:rsidRDefault="00CD371B" w:rsidP="007B33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16"/>
      <w:bookmarkStart w:id="1" w:name="OLE_LINK17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2.1. Дополнительные платные (сопутствующие) услуги оказываются Учреждениями по ценам, целиком покрывающим издержки на оказание данных услуг и необходимой прибыли в пределах рентабельности </w:t>
      </w:r>
      <w:bookmarkStart w:id="2" w:name="OLE_LINK13"/>
      <w:bookmarkStart w:id="3" w:name="OLE_LINK14"/>
      <w:bookmarkStart w:id="4" w:name="OLE_LINK15"/>
      <w:r w:rsidRPr="007B33DB">
        <w:rPr>
          <w:rFonts w:ascii="Arial" w:eastAsia="Times New Roman" w:hAnsi="Arial" w:cs="Arial"/>
          <w:sz w:val="24"/>
          <w:szCs w:val="24"/>
          <w:lang w:eastAsia="ru-RU"/>
        </w:rPr>
        <w:t>в размере не более 15 процентов.</w:t>
      </w:r>
    </w:p>
    <w:bookmarkEnd w:id="2"/>
    <w:bookmarkEnd w:id="3"/>
    <w:bookmarkEnd w:id="4"/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2.2. Тариф на дополнительные платные (сопутствующие) услуги рассчитывается на основе фактических расходов учреждения за расчетный период (за предшествующий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календарный год); при отсутствии фактических расходов за расчетный период на основе планово-нормативных показателей.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2.3. В качестве объема дополнительных платных (сопутствующих) услуг в условно-натуральном выражении выступает: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объем предоставленных дополнительных платных (сопутствующих) услуг за предыдущие периоды;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максимально возможный объем дополнительных платных (сопутствующих) услуг;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плановый объем дополнительных платных (сопутствующих) услуг.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2.4. Тариф формируется с учетом необходимой прибыли в пределах рентабельности в размере не более 15 процентов</w:t>
      </w:r>
    </w:p>
    <w:p w:rsidR="00CD371B" w:rsidRPr="007B33DB" w:rsidRDefault="007B33D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>Т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>усл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Зусл*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 xml:space="preserve">% 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eastAsia="ru-RU"/>
            </w:rPr>
            <m:t>Рен</m:t>
          </m:r>
        </m:oMath>
      </m:oMathPara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Где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тариф стоимость оказываемой услуги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оказание единицы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Рен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процент рентабельности в размере не более 15 процентов.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(сопутствующей) услуги.</w:t>
      </w:r>
      <w:proofErr w:type="gram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2.6. К затратам, непосредственно связанным с оказанием дополнительной платной (сопутствующей) услуги, относятся: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персонал, непосредственно участвующий в процессе оказания дополнительной платной (сопутствующей) услуги (основной персонал);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материальные запасы, полностью потребляемые в процессе оказания дополнительной платной (сопутствующей) услуги;</w:t>
      </w:r>
      <w:proofErr w:type="gram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(амортизация) оборудования, используемого в процессе оказания дополнительной платной (сопутствующей) услуги; прочие расходы, отражающие специфику оказания дополнительной платной (сопутствующей) услуги.</w:t>
      </w:r>
      <w:proofErr w:type="gram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2.7. К затратам, необходимым для обеспечения деятельности Учреждения в целом, но не потребляемым непосредственно в процессе оказания дополнительной платной (сопутствующей) услуги (далее - накладные затраты), относятся: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персонал Учреждения, не участвующий непосредственно в процессе оказания дополнительной платной (сопутствующей) услуги (далее - прочий персонал);</w:t>
      </w:r>
      <w:proofErr w:type="gram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(амортизация) зданий, сооружений и других основных фондов, непосредственно не связанных с оказанием дополнительной платной (сопутствующей)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2.8. Для расчета затрат на оказание дополнительной платной (сопутствующей) услуги может быть использован расчетно-аналитический метод или метод прямого счета.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2.9. Расчетно-аналитический метод применяется в случаях, когда в оказании дополнительной платной (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сопутствующей) 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дополнительной платной (сопутствующей) услуги на основе анализа фактических затрат Учреждения в предшествующие периоды. В основе расчета затрат на оказание дополнительной платной (сопутствующей) услуги лежит расчет средней стоимости единицы времени (человеко-часа) и оценка количества единиц времени (человеко-часов), необходимых для оказания дополнительной платной (сопутствующей)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При использовании расчетно-аналитического метода применяется следующая формула:</w:t>
      </w:r>
    </w:p>
    <w:p w:rsidR="00CD371B" w:rsidRPr="007B33DB" w:rsidRDefault="007B33D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Зусл</m:t>
        </m:r>
        <m:r>
          <m:rPr>
            <m:sty m:val="p"/>
          </m:rPr>
          <w:rPr>
            <w:rFonts w:ascii="Cambria Math" w:eastAsia="Times New Roman" w:hAnsi="Arial" w:cs="Arial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Фр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вр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.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×Тусл</m:t>
        </m:r>
      </m:oMath>
      <w:r w:rsidR="00CD371B" w:rsidRPr="007B33D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OLE_LINK10"/>
      <w:bookmarkStart w:id="6" w:name="OLE_LINK11"/>
      <w:bookmarkStart w:id="7" w:name="OLE_LINK12"/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оказание единицы дополнительной платной (сопутствующей) услуги;</w:t>
      </w:r>
      <w:bookmarkEnd w:id="5"/>
      <w:bookmarkEnd w:id="6"/>
      <w:bookmarkEnd w:id="7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∑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Зучр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сумма всех затрат Учреждения за период времени;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Фр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фонд рабочего времени основного персонала Учреждения за тот же период времени;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Тусл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. - норма рабочего времени, затрачиваемого основным персоналом на оказание дополнительной платной (сопутствующей)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2.9.1. Индивидуальные посещения без тренера рассчитываются по формуле: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Ипос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Ппос</w:t>
      </w:r>
      <w:proofErr w:type="spellEnd"/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оказание единицы платной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исчисляется из расчета планируемого количества посещений на единицу времени оказания услуги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КПпл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Кч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КПпл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Потребителей платной услуги, для расчета используется планируемый показатель количества потребителей услуги на текущий год, с учетом фактических данных предшествующих периодов.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Кч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планируемое количество часов оказания платной услуги в единицу времени (час, день).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2.9.2. Индивидуальные посещения с тренером рассчитываются по формуле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Ипос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ПЗ +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/(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ПЗ – прямые затраты включают: затраты на основной персонал, непосредственно принимающий участие в оказании платной услуги; сумма начисленной амортизации оборудования, используемого при оказании платной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оказание единицы платной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Ппос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КПпл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Кч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КПпл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Потребителей платной услуги, для расчета используется планируемый показатель количества потребителей услуги на текущий год, с учетом фактических данных предшествующих периодов.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Кч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планируемое количество часов оказания платной услуги в единицу времени (час, день).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2.10. Метод прямого счета применяется в случаях, когда оказание дополнительной платной (сопутствующей)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дополнительной платной (сопутствующей) услуги лежит прямой учет всех элементов затрат. Затраты на оказание дополнительной платной (сопутствующей) услуги определяются по формуле: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Змз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Аусл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оказание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основной персонал, непосредственно принимающий участие в оказании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Змз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материальных запасов, потребляемых в процессе оказания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Аусл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сумма начисленной амортизации оборудования, используемого при оказании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накладные затраты, относимые на стоимость дополнительной платной (сопутствующей)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2.11. Затраты на основной персонал включают в себя: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оплату труда и начисления на выплаты по оплате труда основного персонала;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суммы вознаграждения работников, привлекаемых по гражданско-правовым договорам.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дополнительной платной (сопутствующей) услуги. Данный расчет проводится по каждому работнику, участвующему в оказании соответствующей дополнительной платной (сопутствующей) услуги. Затраты на оплату труда определяются по формуле:</w:t>
      </w:r>
    </w:p>
    <w:p w:rsidR="00CD371B" w:rsidRPr="007B33DB" w:rsidRDefault="007B33D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Зоп</m:t>
        </m:r>
        <m:r>
          <m:rPr>
            <m:sty m:val="p"/>
          </m:rPr>
          <w:rPr>
            <w:rFonts w:ascii="Cambria Math" w:eastAsia="Times New Roman" w:hAnsi="Arial" w:cs="Arial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ФОТ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оп*Тусл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Фр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вр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.</m:t>
            </m:r>
          </m:den>
        </m:f>
      </m:oMath>
      <w:r w:rsidR="00CD371B" w:rsidRPr="007B33D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труда и начисления на выплаты по оплате труда основного персонала;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ФОТоп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дневная, месячная ставка по штатному расписанию работников из числа основного персонала с применением коэффициента кратности не более трех (включая начисления на выплаты по оплате труда), непосредственно принимающего участие в оказании платной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Тусл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норма рабочего времени, на оказание услуги (работы) затрачиваемого основным персоналом;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Фр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– фонд рабочего времени основного персонала учреждения за тот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же период.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труда персонала, непосредственно участвующего в процессе оказания дополнительной платной (сопутствующей) услуги производится по форме согласно приложению № 1 к настоящей Методике.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согласно Постановлению Правительства Российской Федерации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от 03.04.2003 года № 191 «О продолжительности рабочего времени (норме часов педагогической работы за ставку заработной платы) педагогических работников»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в неделе), а затем на 12 (количество месяцев в году).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2.13. Затраты на приобретение материальных запасов и услуг, полностью потребляемых в процессе оказания дополнительной платной (сопутствующей) услуги, включают в себя: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медикаменты и перевязочные средства;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продукты питания;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мягкий инвентарь;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расходных материалов для оргтехники;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другие материальные запасы.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дополнительной платной (сопутствующей) услуги, по формуле: </w:t>
      </w:r>
    </w:p>
    <w:p w:rsidR="00CD371B" w:rsidRPr="007B33DB" w:rsidRDefault="007B33D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ru-RU"/>
          </w:rPr>
          <m:t>Змз</m:t>
        </m:r>
        <m:r>
          <m:rPr>
            <m:sty m:val="p"/>
          </m:rPr>
          <w:rPr>
            <w:rFonts w:ascii="Cambria Math" w:eastAsia="Times New Roman" w:hAnsi="Arial" w:cs="Arial"/>
            <w:sz w:val="24"/>
            <w:szCs w:val="24"/>
            <w:lang w:eastAsia="ru-RU"/>
          </w:rPr>
          <m:t>=</m:t>
        </m:r>
        <m:nary>
          <m:naryPr>
            <m:chr m:val="∑"/>
            <m:grow m:val="on"/>
            <m:ctrl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МЗ×Ц</m:t>
            </m:r>
          </m:e>
        </m:nary>
      </m:oMath>
      <w:r w:rsidR="00CD371B" w:rsidRPr="007B33D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Змз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материальные запасы, потребляемые в процессе оказания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МЗ - материальные запасы определенного вида;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приобретаемых материальных запасов.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Расчет затрат на материальные запасы, непосредственно потребляемые в процессе оказания дополнительной платной (сопутствующей) услуги, производится по форме согласно приложению № 2 к настоящей Методике.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2.14. Сумма начисленной амортизации оборудования, используемого при оказании дополнительной платной (сопутствующей) услуги, определяется исходя из балансовой стоимости оборудования, годовой нормы его износа и времени работы оборудования в процессе оказания дополнительной платной (сопутствующей) услуги.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Расчет суммы начисленной амортизации оборудования, используемого при оказании дополнительной платной (сопутствующей) услуги, производится по форме согласно приложению № 3 к настоящей Методике.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2.15. Объем накладных затрат относится на стоимость дополнительной платной (сопутствующей) услуги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дополнительной платной (сопутствующей) услуги, и определяется по формуле: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CD371B" w:rsidRPr="007B33DB" w:rsidRDefault="007B33D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Arial" w:cs="Arial"/>
            <w:sz w:val="24"/>
            <w:szCs w:val="24"/>
            <w:lang w:val="en-US" w:eastAsia="ru-RU"/>
          </w:rPr>
          <m:t>k</m:t>
        </m:r>
        <m:r>
          <m:rPr>
            <m:sty m:val="p"/>
          </m:rPr>
          <w:rPr>
            <w:rFonts w:ascii="Cambria Math" w:eastAsia="Times New Roman" w:hAnsi="Arial" w:cs="Arial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Зауп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Зохн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Зоп</m:t>
                </m:r>
              </m:e>
            </m:nary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  <w:lang w:eastAsia="ru-RU"/>
              </w:rPr>
              <m:t>.</m:t>
            </m:r>
          </m:den>
        </m:f>
      </m:oMath>
      <w:r w:rsidR="00CD371B" w:rsidRPr="007B33D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Зауп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Зохн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Аохн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Зоп</w:t>
      </w:r>
      <w:proofErr w:type="spell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прочий персонал включают в себя: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оплату труда и начисления на выплаты по оплате труда прочего персонала;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по повышению квалификации основного и административно-управленческого персонала.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общехозяйственного назначения включают в себя: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дополнительной платной (сопутствующей) услуги;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если аренда необходима для оказания дополнительной платной (сопутствующей)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Расчет накладных затрат производится по форме согласно приложению № 4 к настоящей Методике.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2.16. Расчет цены производится по формам согласно приложениям № 5, 6 к настоящей Методике.</w:t>
      </w:r>
    </w:p>
    <w:bookmarkEnd w:id="0"/>
    <w:bookmarkEnd w:id="1"/>
    <w:p w:rsidR="00CD371B" w:rsidRPr="007B33DB" w:rsidRDefault="00CD371B" w:rsidP="007B3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3. Контроль</w:t>
      </w:r>
    </w:p>
    <w:p w:rsidR="00CD371B" w:rsidRPr="007B33DB" w:rsidRDefault="00CD371B" w:rsidP="007B33DB">
      <w:pPr>
        <w:spacing w:after="0" w:line="240" w:lineRule="auto"/>
        <w:ind w:lef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OLE_LINK18"/>
      <w:bookmarkStart w:id="9" w:name="OLE_LINK19"/>
      <w:bookmarkStart w:id="10" w:name="OLE_LINK20"/>
      <w:proofErr w:type="gram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организацией, качеством и правильностью применения цен на дополнительные платные (сопутствующие) услуги осуществляет руководитель конкретного Учреждения.</w:t>
      </w:r>
    </w:p>
    <w:bookmarkEnd w:id="8"/>
    <w:bookmarkEnd w:id="9"/>
    <w:bookmarkEnd w:id="10"/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FE2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</w:t>
      </w:r>
    </w:p>
    <w:p w:rsidR="00822FE2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по физической</w:t>
      </w:r>
      <w:r w:rsidR="00822FE2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культуре и спорту </w:t>
      </w:r>
    </w:p>
    <w:p w:rsidR="00CD371B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22FE2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7C8D" w:rsidRPr="007B33DB" w:rsidRDefault="00CD371B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B33DB">
        <w:rPr>
          <w:rFonts w:ascii="Arial" w:eastAsia="Times New Roman" w:hAnsi="Arial" w:cs="Arial"/>
          <w:sz w:val="24"/>
          <w:szCs w:val="24"/>
          <w:lang w:eastAsia="ru-RU"/>
        </w:rPr>
        <w:t>Д.Е.Терников</w:t>
      </w:r>
      <w:proofErr w:type="spellEnd"/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7C8D" w:rsidRPr="007B33DB" w:rsidRDefault="00077C8D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C8D" w:rsidRPr="007B33DB" w:rsidRDefault="00077C8D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 1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спортивными школами «Крепыш» им. </w:t>
      </w:r>
      <w:proofErr w:type="spellStart"/>
      <w:r w:rsidRPr="007B33DB">
        <w:rPr>
          <w:rFonts w:ascii="Arial" w:hAnsi="Arial" w:cs="Arial"/>
          <w:bCs/>
          <w:sz w:val="24"/>
          <w:szCs w:val="24"/>
        </w:rPr>
        <w:t>Тамазова</w:t>
      </w:r>
      <w:proofErr w:type="spellEnd"/>
      <w:r w:rsidRPr="007B33DB">
        <w:rPr>
          <w:rFonts w:ascii="Arial" w:hAnsi="Arial" w:cs="Arial"/>
          <w:bCs/>
          <w:sz w:val="24"/>
          <w:szCs w:val="24"/>
        </w:rPr>
        <w:t xml:space="preserve"> К.Х. и «Надежда», подведомственными отделу по физической культуре и спорту 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822FE2" w:rsidRPr="007B33DB" w:rsidRDefault="00822FE2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077C8D" w:rsidRPr="007B33DB" w:rsidRDefault="00077C8D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C8D" w:rsidRPr="007B33DB" w:rsidRDefault="00077C8D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67"/>
        <w:gridCol w:w="1485"/>
        <w:gridCol w:w="215"/>
        <w:gridCol w:w="1418"/>
        <w:gridCol w:w="494"/>
        <w:gridCol w:w="1559"/>
        <w:gridCol w:w="214"/>
        <w:gridCol w:w="1345"/>
        <w:gridCol w:w="495"/>
        <w:gridCol w:w="1347"/>
      </w:tblGrid>
      <w:tr w:rsidR="00077C8D" w:rsidRPr="007B33DB" w:rsidTr="00F23C39">
        <w:trPr>
          <w:trHeight w:val="721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 оплату труда персонала</w:t>
            </w:r>
          </w:p>
        </w:tc>
      </w:tr>
      <w:tr w:rsidR="00077C8D" w:rsidRPr="007B33DB" w:rsidTr="00F23C39">
        <w:trPr>
          <w:trHeight w:val="26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Месячный фонд рабочего времени</w:t>
            </w:r>
          </w:p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времени на оказание услуги в месяц (часов)</w:t>
            </w:r>
          </w:p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оплату труда персонала</w:t>
            </w:r>
          </w:p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(руб.)(5)=(2) / (3) </w:t>
            </w: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(4)</w:t>
            </w:r>
          </w:p>
        </w:tc>
      </w:tr>
      <w:tr w:rsidR="00077C8D" w:rsidRPr="007B33DB" w:rsidTr="00F23C39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77C8D" w:rsidRPr="007B33DB" w:rsidTr="00F23C39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68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077C8D" w:rsidRPr="007B33DB" w:rsidTr="00F23C39">
        <w:trPr>
          <w:trHeight w:val="255"/>
        </w:trPr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077C8D" w:rsidRPr="007B33DB" w:rsidTr="00F23C39">
        <w:trPr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077C8D" w:rsidRPr="007B33DB" w:rsidTr="00F23C39">
        <w:trPr>
          <w:trHeight w:val="268"/>
        </w:trPr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C8D" w:rsidRPr="007B33DB" w:rsidTr="00F23C39">
        <w:trPr>
          <w:trHeight w:val="255"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077C8D" w:rsidRPr="007B33DB" w:rsidRDefault="00077C8D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310"/>
        <w:gridCol w:w="3436"/>
      </w:tblGrid>
      <w:tr w:rsidR="00077C8D" w:rsidRPr="007B33DB" w:rsidTr="00F23C39">
        <w:tc>
          <w:tcPr>
            <w:tcW w:w="6310" w:type="dxa"/>
            <w:hideMark/>
          </w:tcPr>
          <w:p w:rsidR="00077C8D" w:rsidRPr="007B33DB" w:rsidRDefault="00C03826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77C8D"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077C8D" w:rsidRPr="007B33DB" w:rsidRDefault="00077C8D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6D42D2" w:rsidRPr="007B33DB" w:rsidRDefault="00077C8D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C03826" w:rsidRPr="007B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3D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F23C39" w:rsidRPr="007B33DB" w:rsidRDefault="00F23C39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C39" w:rsidRPr="007B33DB" w:rsidRDefault="00F23C39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C39" w:rsidRPr="007B33DB" w:rsidRDefault="00F23C39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 2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 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спортивными школами «Крепыш» им. </w:t>
      </w:r>
      <w:proofErr w:type="spellStart"/>
      <w:r w:rsidRPr="007B33DB">
        <w:rPr>
          <w:rFonts w:ascii="Arial" w:hAnsi="Arial" w:cs="Arial"/>
          <w:bCs/>
          <w:sz w:val="24"/>
          <w:szCs w:val="24"/>
        </w:rPr>
        <w:t>Тамазова</w:t>
      </w:r>
      <w:proofErr w:type="spellEnd"/>
      <w:r w:rsidRPr="007B33DB">
        <w:rPr>
          <w:rFonts w:ascii="Arial" w:hAnsi="Arial" w:cs="Arial"/>
          <w:bCs/>
          <w:sz w:val="24"/>
          <w:szCs w:val="24"/>
        </w:rPr>
        <w:t xml:space="preserve"> К.Х. и «Надежда», подведомственными отделу по физической культуре и спорту 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337A51" w:rsidRPr="007B33DB" w:rsidRDefault="00337A51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250"/>
      </w:tblGrid>
      <w:tr w:rsidR="00337A51" w:rsidRPr="007B33DB" w:rsidTr="00822FE2">
        <w:trPr>
          <w:trHeight w:val="785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затрат на материальные запасы</w:t>
            </w:r>
          </w:p>
        </w:tc>
      </w:tr>
      <w:tr w:rsidR="00337A51" w:rsidRPr="007B33DB" w:rsidTr="00822FE2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материальных запасов</w:t>
            </w:r>
          </w:p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(5)=(3) </w:t>
            </w: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(4)</w:t>
            </w:r>
          </w:p>
        </w:tc>
      </w:tr>
      <w:tr w:rsidR="00337A51" w:rsidRPr="007B33DB" w:rsidTr="00822FE2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7A51" w:rsidRPr="007B33DB" w:rsidTr="00822FE2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337A51" w:rsidRPr="007B33DB" w:rsidTr="00822FE2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337A51" w:rsidRPr="007B33DB" w:rsidTr="00822FE2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337A51" w:rsidRPr="007B33DB" w:rsidTr="00822FE2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A51" w:rsidRPr="007B33DB" w:rsidTr="00822FE2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337A51" w:rsidRPr="007B33DB" w:rsidRDefault="00337A51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310"/>
        <w:gridCol w:w="3436"/>
      </w:tblGrid>
      <w:tr w:rsidR="00337A51" w:rsidRPr="007B33DB" w:rsidTr="00822FE2">
        <w:tc>
          <w:tcPr>
            <w:tcW w:w="6310" w:type="dxa"/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37A51" w:rsidRPr="007B33DB" w:rsidTr="00822FE2">
        <w:tc>
          <w:tcPr>
            <w:tcW w:w="6310" w:type="dxa"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  <w:r w:rsidR="00C03826"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C03826"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6" w:type="dxa"/>
          </w:tcPr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7A51" w:rsidRPr="007B33DB" w:rsidRDefault="00337A51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A04780" w:rsidRPr="007B33DB" w:rsidRDefault="00A04780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23C39" w:rsidRPr="007B33DB" w:rsidRDefault="00F23C39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 3</w:t>
      </w:r>
    </w:p>
    <w:p w:rsidR="00F23C39" w:rsidRPr="007B33DB" w:rsidRDefault="00F23C39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F23C39" w:rsidRPr="007B33DB" w:rsidRDefault="00F23C39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F23C39" w:rsidRPr="007B33DB" w:rsidRDefault="00F23C39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 </w:t>
      </w:r>
    </w:p>
    <w:p w:rsidR="00F23C39" w:rsidRPr="007B33DB" w:rsidRDefault="00F23C39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спортивными школами «Крепыш» им. </w:t>
      </w:r>
      <w:proofErr w:type="spellStart"/>
      <w:r w:rsidRPr="007B33DB">
        <w:rPr>
          <w:rFonts w:ascii="Arial" w:hAnsi="Arial" w:cs="Arial"/>
          <w:bCs/>
          <w:sz w:val="24"/>
          <w:szCs w:val="24"/>
        </w:rPr>
        <w:t>Тамазова</w:t>
      </w:r>
      <w:proofErr w:type="spellEnd"/>
      <w:r w:rsidRPr="007B33DB">
        <w:rPr>
          <w:rFonts w:ascii="Arial" w:hAnsi="Arial" w:cs="Arial"/>
          <w:bCs/>
          <w:sz w:val="24"/>
          <w:szCs w:val="24"/>
        </w:rPr>
        <w:t xml:space="preserve"> К.Х. и «Надежда», подведомственными отделу по физической культуре и спорту </w:t>
      </w:r>
    </w:p>
    <w:p w:rsidR="00F23C39" w:rsidRPr="007B33DB" w:rsidRDefault="00F23C39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B32C4E" w:rsidRPr="007B33DB" w:rsidRDefault="00F23C39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40000"/>
    </w:p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268"/>
        <w:gridCol w:w="534"/>
        <w:gridCol w:w="1026"/>
        <w:gridCol w:w="914"/>
        <w:gridCol w:w="503"/>
        <w:gridCol w:w="1418"/>
        <w:gridCol w:w="1961"/>
        <w:gridCol w:w="553"/>
        <w:gridCol w:w="888"/>
      </w:tblGrid>
      <w:tr w:rsidR="00B32C4E" w:rsidRPr="007B33DB" w:rsidTr="00822FE2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1"/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суммы начисленной амортизации имущества используемого в процессе оказания дополнительных платных (сопутствующих) услуг</w:t>
            </w:r>
          </w:p>
        </w:tc>
      </w:tr>
      <w:tr w:rsidR="00B32C4E" w:rsidRPr="007B33DB" w:rsidTr="00822FE2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 норма износа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 норма времени работы оборудования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работы оборудования в процессе оказания дополнительной платно</w:t>
            </w: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сопутствующей) услуги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начисленной амортизации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(6) = (2) </w:t>
            </w: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(3) </w:t>
            </w: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(5) / (4)</w:t>
            </w:r>
          </w:p>
        </w:tc>
      </w:tr>
      <w:tr w:rsidR="00B32C4E" w:rsidRPr="007B33DB" w:rsidTr="00822F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32C4E" w:rsidRPr="007B33DB" w:rsidTr="00822F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15"/>
        <w:gridCol w:w="3331"/>
      </w:tblGrid>
      <w:tr w:rsidR="00B32C4E" w:rsidRPr="007B33DB" w:rsidTr="00822FE2">
        <w:tc>
          <w:tcPr>
            <w:tcW w:w="6415" w:type="dxa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32C4E" w:rsidRPr="007B33DB" w:rsidTr="00822FE2">
        <w:tc>
          <w:tcPr>
            <w:tcW w:w="6415" w:type="dxa"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1" w:type="dxa"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</w:tbl>
    <w:tbl>
      <w:tblPr>
        <w:tblStyle w:val="3"/>
        <w:tblW w:w="5210" w:type="dxa"/>
        <w:tblInd w:w="4536" w:type="dxa"/>
        <w:tblLook w:val="04A0"/>
      </w:tblPr>
      <w:tblGrid>
        <w:gridCol w:w="5210"/>
      </w:tblGrid>
      <w:tr w:rsidR="00B32C4E" w:rsidRPr="007B33DB" w:rsidTr="00B32C4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 4</w:t>
      </w: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 </w:t>
      </w: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спортивными школами «Крепыш» им. </w:t>
      </w:r>
      <w:proofErr w:type="spellStart"/>
      <w:r w:rsidRPr="007B33DB">
        <w:rPr>
          <w:rFonts w:ascii="Arial" w:hAnsi="Arial" w:cs="Arial"/>
          <w:bCs/>
          <w:sz w:val="24"/>
          <w:szCs w:val="24"/>
        </w:rPr>
        <w:t>Тамазова</w:t>
      </w:r>
      <w:proofErr w:type="spellEnd"/>
      <w:r w:rsidRPr="007B33DB">
        <w:rPr>
          <w:rFonts w:ascii="Arial" w:hAnsi="Arial" w:cs="Arial"/>
          <w:bCs/>
          <w:sz w:val="24"/>
          <w:szCs w:val="24"/>
        </w:rPr>
        <w:t xml:space="preserve"> К.Х. и «Надежда», подведомственными отделу по физической культуре и спорту </w:t>
      </w: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B32C4E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243" w:rsidRPr="007B33DB" w:rsidRDefault="00906243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752"/>
        <w:gridCol w:w="329"/>
        <w:gridCol w:w="1828"/>
        <w:gridCol w:w="1079"/>
      </w:tblGrid>
      <w:tr w:rsidR="00B32C4E" w:rsidRPr="007B33DB" w:rsidTr="00822FE2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накладных затрат</w:t>
            </w:r>
          </w:p>
        </w:tc>
      </w:tr>
      <w:tr w:rsidR="00B32C4E" w:rsidRPr="007B33DB" w:rsidTr="00822FE2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общехозяйственного назначения, в том числе: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Суммарный фонд оплаты труда основного персонала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накладных затрат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(5) = {(1) + (2) + (3)} / 4</w:t>
            </w:r>
          </w:p>
        </w:tc>
      </w:tr>
      <w:tr w:rsidR="00B32C4E" w:rsidRPr="007B33DB" w:rsidTr="00822FE2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накладные затраты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(7) = (5) </w:t>
            </w:r>
            <w:proofErr w:type="spell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B32C4E" w:rsidRPr="007B33DB" w:rsidTr="00822FE2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trHeight w:val="274"/>
        </w:trPr>
        <w:tc>
          <w:tcPr>
            <w:tcW w:w="6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rPr>
          <w:trHeight w:val="289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trHeight w:val="274"/>
        </w:trPr>
        <w:tc>
          <w:tcPr>
            <w:tcW w:w="6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</w:tbl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415"/>
        <w:gridCol w:w="3331"/>
      </w:tblGrid>
      <w:tr w:rsidR="00B32C4E" w:rsidRPr="007B33DB" w:rsidTr="00822FE2">
        <w:tc>
          <w:tcPr>
            <w:tcW w:w="6415" w:type="dxa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32C4E" w:rsidRPr="007B33DB" w:rsidTr="00822FE2">
        <w:tc>
          <w:tcPr>
            <w:tcW w:w="6415" w:type="dxa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1" w:type="dxa"/>
            <w:hideMark/>
          </w:tcPr>
          <w:p w:rsidR="00906243" w:rsidRPr="007B33DB" w:rsidRDefault="00906243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B32C4E" w:rsidRPr="007B33DB" w:rsidRDefault="00B32C4E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2C4E" w:rsidRPr="007B33DB" w:rsidRDefault="00B32C4E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33DB" w:rsidRDefault="007B33DB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B33DB" w:rsidRPr="007B33DB" w:rsidRDefault="007B33DB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 5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 </w:t>
      </w:r>
    </w:p>
    <w:p w:rsidR="007B33DB" w:rsidRDefault="007B33DB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спортивными школами «Крепыш» им. </w:t>
      </w:r>
      <w:proofErr w:type="spellStart"/>
      <w:r w:rsidRPr="007B33DB">
        <w:rPr>
          <w:rFonts w:ascii="Arial" w:hAnsi="Arial" w:cs="Arial"/>
          <w:bCs/>
          <w:sz w:val="24"/>
          <w:szCs w:val="24"/>
        </w:rPr>
        <w:t>Тамазова</w:t>
      </w:r>
      <w:proofErr w:type="spellEnd"/>
      <w:r w:rsidRPr="007B33DB">
        <w:rPr>
          <w:rFonts w:ascii="Arial" w:hAnsi="Arial" w:cs="Arial"/>
          <w:bCs/>
          <w:sz w:val="24"/>
          <w:szCs w:val="24"/>
        </w:rPr>
        <w:t xml:space="preserve"> К.Х. и «Надежда», подведомственными отделу по физической культуре и спорту </w:t>
      </w:r>
    </w:p>
    <w:p w:rsidR="007B33DB" w:rsidRDefault="007B33DB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B32C4E" w:rsidRPr="007B33DB" w:rsidRDefault="007B33DB" w:rsidP="007B33D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tbl>
      <w:tblPr>
        <w:tblStyle w:val="4"/>
        <w:tblW w:w="0" w:type="auto"/>
        <w:tblInd w:w="5070" w:type="dxa"/>
        <w:tblLook w:val="04A0"/>
      </w:tblPr>
      <w:tblGrid>
        <w:gridCol w:w="4784"/>
      </w:tblGrid>
      <w:tr w:rsidR="00B32C4E" w:rsidRPr="007B33DB" w:rsidTr="00822FE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C4E" w:rsidRPr="007B33DB" w:rsidRDefault="00B32C4E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710"/>
        <w:gridCol w:w="1752"/>
        <w:gridCol w:w="460"/>
        <w:gridCol w:w="1292"/>
        <w:gridCol w:w="81"/>
        <w:gridCol w:w="106"/>
        <w:gridCol w:w="2303"/>
        <w:gridCol w:w="746"/>
        <w:gridCol w:w="69"/>
        <w:gridCol w:w="107"/>
      </w:tblGrid>
      <w:tr w:rsidR="00B32C4E" w:rsidRPr="007B33DB" w:rsidTr="00822FE2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Начальник _______________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 муниципального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учреждения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(Ф.И.О)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__________________(Ф.И.О)</w:t>
            </w: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«_____» _____________ 2018 г.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«_____» __________ 2018 г.</w:t>
            </w: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цены (тарифа) на оказание дополнительной платной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(сопутствующей) услуги (работы)</w:t>
            </w: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 затраты, относимые на услугу (работу)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платы за услугу (работу)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1"/>
          <w:wAfter w:w="10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rPr>
          <w:gridAfter w:val="2"/>
          <w:wAfter w:w="176" w:type="dxa"/>
          <w:trHeight w:val="289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gridAfter w:val="2"/>
          <w:wAfter w:w="176" w:type="dxa"/>
          <w:trHeight w:val="274"/>
        </w:trPr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176" w:type="dxa"/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15" w:type="dxa"/>
            <w:gridSpan w:val="7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331" w:type="dxa"/>
            <w:gridSpan w:val="5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32C4E" w:rsidRPr="007B33DB" w:rsidTr="00822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15" w:type="dxa"/>
            <w:gridSpan w:val="7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1" w:type="dxa"/>
            <w:gridSpan w:val="5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B32C4E" w:rsidRPr="007B33DB" w:rsidRDefault="00B32C4E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2C4E" w:rsidRDefault="00B32C4E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33DB" w:rsidRPr="007B33DB" w:rsidRDefault="007B33DB" w:rsidP="007B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Приложение № 6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к Методике расчета тарифов 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7B33DB" w:rsidRDefault="007B33DB" w:rsidP="007B33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7B33DB">
        <w:rPr>
          <w:rFonts w:ascii="Arial" w:hAnsi="Arial" w:cs="Arial"/>
          <w:bCs/>
          <w:sz w:val="24"/>
          <w:szCs w:val="24"/>
        </w:rPr>
        <w:t>оказываемые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 муниципальными автономными учреждениями </w:t>
      </w:r>
    </w:p>
    <w:p w:rsidR="007B33DB" w:rsidRDefault="007B33DB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спортивными школа</w:t>
      </w:r>
      <w:r>
        <w:rPr>
          <w:rFonts w:ascii="Arial" w:hAnsi="Arial" w:cs="Arial"/>
          <w:bCs/>
          <w:sz w:val="24"/>
          <w:szCs w:val="24"/>
        </w:rPr>
        <w:t xml:space="preserve">ми «Крепыш» им. </w:t>
      </w:r>
      <w:proofErr w:type="spellStart"/>
      <w:r>
        <w:rPr>
          <w:rFonts w:ascii="Arial" w:hAnsi="Arial" w:cs="Arial"/>
          <w:bCs/>
          <w:sz w:val="24"/>
          <w:szCs w:val="24"/>
        </w:rPr>
        <w:t>Тамазова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К.Х. и </w:t>
      </w:r>
      <w:r w:rsidRPr="007B33DB">
        <w:rPr>
          <w:rFonts w:ascii="Arial" w:hAnsi="Arial" w:cs="Arial"/>
          <w:bCs/>
          <w:sz w:val="24"/>
          <w:szCs w:val="24"/>
        </w:rPr>
        <w:t>«Надежда»</w:t>
      </w:r>
      <w:proofErr w:type="gramStart"/>
      <w:r w:rsidRPr="007B33DB">
        <w:rPr>
          <w:rFonts w:ascii="Arial" w:hAnsi="Arial" w:cs="Arial"/>
          <w:bCs/>
          <w:sz w:val="24"/>
          <w:szCs w:val="24"/>
        </w:rPr>
        <w:t>,</w:t>
      </w:r>
      <w:bookmarkStart w:id="12" w:name="_GoBack"/>
      <w:bookmarkEnd w:id="12"/>
      <w:r w:rsidRPr="007B33DB">
        <w:rPr>
          <w:rFonts w:ascii="Arial" w:hAnsi="Arial" w:cs="Arial"/>
          <w:bCs/>
          <w:sz w:val="24"/>
          <w:szCs w:val="24"/>
        </w:rPr>
        <w:t>п</w:t>
      </w:r>
      <w:proofErr w:type="gramEnd"/>
      <w:r w:rsidRPr="007B33DB">
        <w:rPr>
          <w:rFonts w:ascii="Arial" w:hAnsi="Arial" w:cs="Arial"/>
          <w:bCs/>
          <w:sz w:val="24"/>
          <w:szCs w:val="24"/>
        </w:rPr>
        <w:t xml:space="preserve">одведомственными отделу </w:t>
      </w:r>
    </w:p>
    <w:p w:rsidR="007B33DB" w:rsidRDefault="007B33DB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по физической культуре и спорту </w:t>
      </w:r>
    </w:p>
    <w:p w:rsidR="007B33DB" w:rsidRDefault="007B33DB" w:rsidP="007B33DB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7B33DB" w:rsidRPr="007B33DB" w:rsidRDefault="007B33DB" w:rsidP="007B33D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B33DB">
        <w:rPr>
          <w:rFonts w:ascii="Arial" w:hAnsi="Arial" w:cs="Arial"/>
          <w:bCs/>
          <w:sz w:val="24"/>
          <w:szCs w:val="24"/>
        </w:rPr>
        <w:t>Новокубанский район</w:t>
      </w:r>
    </w:p>
    <w:tbl>
      <w:tblPr>
        <w:tblStyle w:val="5"/>
        <w:tblW w:w="0" w:type="auto"/>
        <w:tblInd w:w="5211" w:type="dxa"/>
        <w:tblLook w:val="04A0"/>
      </w:tblPr>
      <w:tblGrid>
        <w:gridCol w:w="4643"/>
      </w:tblGrid>
      <w:tr w:rsidR="00B32C4E" w:rsidRPr="007B33DB" w:rsidTr="00822FE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B33DB" w:rsidRPr="007B33DB" w:rsidRDefault="007B33DB" w:rsidP="007B33D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120"/>
      </w:tblGrid>
      <w:tr w:rsidR="00B32C4E" w:rsidRPr="007B33DB" w:rsidTr="00822FE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Начальник _______________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C03826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C03826"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муниципального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C03826"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B32C4E" w:rsidRPr="007B33DB" w:rsidTr="00822FE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 (ФИО)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32C4E" w:rsidRPr="007B33DB" w:rsidTr="00822FE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«_____» _____________ 2018 г.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«_____» ______________ 2018 г.</w:t>
            </w:r>
          </w:p>
        </w:tc>
      </w:tr>
      <w:tr w:rsidR="00B32C4E" w:rsidRPr="007B33DB" w:rsidTr="00822FE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</w:t>
            </w:r>
            <w:r w:rsidRPr="007B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(цены) на дополнительные платные (сопутствующие) услуги (работы)</w:t>
            </w: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услуги (работы)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(уровень образования)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W w:w="9572" w:type="dxa"/>
        <w:tblLook w:val="04A0"/>
      </w:tblPr>
      <w:tblGrid>
        <w:gridCol w:w="1954"/>
        <w:gridCol w:w="1615"/>
        <w:gridCol w:w="1532"/>
        <w:gridCol w:w="1117"/>
        <w:gridCol w:w="1118"/>
        <w:gridCol w:w="1118"/>
        <w:gridCol w:w="1118"/>
      </w:tblGrid>
      <w:tr w:rsidR="00B32C4E" w:rsidRPr="007B33DB" w:rsidTr="00822FE2">
        <w:trPr>
          <w:trHeight w:val="1068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Количество занятий в неделю (</w:t>
            </w:r>
            <w:proofErr w:type="gramStart"/>
            <w:r w:rsidRPr="007B33DB">
              <w:rPr>
                <w:rFonts w:ascii="Arial" w:hAnsi="Arial" w:cs="Arial"/>
                <w:sz w:val="24"/>
                <w:szCs w:val="24"/>
              </w:rPr>
              <w:t>месяце</w:t>
            </w:r>
            <w:proofErr w:type="gramEnd"/>
            <w:r w:rsidRPr="007B33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33DB">
              <w:rPr>
                <w:rFonts w:ascii="Arial" w:hAnsi="Arial" w:cs="Arial"/>
                <w:sz w:val="24"/>
                <w:szCs w:val="24"/>
              </w:rPr>
              <w:t>Дл</w:t>
            </w:r>
            <w:proofErr w:type="gramStart"/>
            <w:r w:rsidRPr="007B33D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B33DB">
              <w:rPr>
                <w:rFonts w:ascii="Arial" w:hAnsi="Arial" w:cs="Arial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Тариф (цена) одного занятия, рублей</w:t>
            </w:r>
          </w:p>
        </w:tc>
      </w:tr>
      <w:tr w:rsidR="00B32C4E" w:rsidRPr="007B33DB" w:rsidTr="00822FE2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4E" w:rsidRPr="007B33DB" w:rsidRDefault="00B32C4E" w:rsidP="007B33D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4E" w:rsidRPr="007B33DB" w:rsidRDefault="00B32C4E" w:rsidP="007B33D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4E" w:rsidRPr="007B33DB" w:rsidRDefault="00B32C4E" w:rsidP="007B33D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группа</w:t>
            </w:r>
            <w:r w:rsidR="00C03826" w:rsidRPr="007B3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DB">
              <w:rPr>
                <w:rFonts w:ascii="Arial" w:hAnsi="Arial" w:cs="Arial"/>
                <w:sz w:val="24"/>
                <w:szCs w:val="24"/>
              </w:rPr>
              <w:t>5 чел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группа</w:t>
            </w:r>
            <w:r w:rsidR="00C03826" w:rsidRPr="007B3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DB">
              <w:rPr>
                <w:rFonts w:ascii="Arial" w:hAnsi="Arial" w:cs="Arial"/>
                <w:sz w:val="24"/>
                <w:szCs w:val="24"/>
              </w:rPr>
              <w:t>7 чел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группа</w:t>
            </w:r>
            <w:r w:rsidR="00C03826" w:rsidRPr="007B3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DB">
              <w:rPr>
                <w:rFonts w:ascii="Arial" w:hAnsi="Arial" w:cs="Arial"/>
                <w:sz w:val="24"/>
                <w:szCs w:val="24"/>
              </w:rPr>
              <w:t>9 чел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группа</w:t>
            </w:r>
            <w:r w:rsidR="00C03826" w:rsidRPr="007B3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DB">
              <w:rPr>
                <w:rFonts w:ascii="Arial" w:hAnsi="Arial" w:cs="Arial"/>
                <w:sz w:val="24"/>
                <w:szCs w:val="24"/>
              </w:rPr>
              <w:t>11 чел</w:t>
            </w:r>
          </w:p>
        </w:tc>
      </w:tr>
      <w:tr w:rsidR="00B32C4E" w:rsidRPr="007B33DB" w:rsidTr="00822FE2">
        <w:trPr>
          <w:trHeight w:val="3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3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4E" w:rsidRPr="007B33DB" w:rsidTr="00822FE2">
        <w:trPr>
          <w:trHeight w:val="37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4E" w:rsidRPr="007B33DB" w:rsidTr="00822FE2">
        <w:trPr>
          <w:trHeight w:val="37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E" w:rsidRPr="007B33DB" w:rsidRDefault="00B32C4E" w:rsidP="007B33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0"/>
        <w:gridCol w:w="1752"/>
        <w:gridCol w:w="1752"/>
        <w:gridCol w:w="81"/>
        <w:gridCol w:w="3155"/>
        <w:gridCol w:w="176"/>
        <w:gridCol w:w="199"/>
      </w:tblGrid>
      <w:tr w:rsidR="00B32C4E" w:rsidRPr="007B33DB" w:rsidTr="00822FE2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rPr>
          <w:gridAfter w:val="2"/>
          <w:wAfter w:w="375" w:type="dxa"/>
          <w:trHeight w:val="289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B32C4E" w:rsidRPr="007B33DB" w:rsidTr="00822FE2">
        <w:trPr>
          <w:gridAfter w:val="2"/>
          <w:wAfter w:w="375" w:type="dxa"/>
          <w:trHeight w:val="274"/>
        </w:trPr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C4E" w:rsidRPr="007B33DB" w:rsidTr="00822FE2">
        <w:trPr>
          <w:gridAfter w:val="2"/>
          <w:wAfter w:w="375" w:type="dxa"/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B32C4E" w:rsidRPr="007B33DB" w:rsidTr="00822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9" w:type="dxa"/>
        </w:trPr>
        <w:tc>
          <w:tcPr>
            <w:tcW w:w="6415" w:type="dxa"/>
            <w:gridSpan w:val="4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3331" w:type="dxa"/>
            <w:gridSpan w:val="2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32C4E" w:rsidRPr="007B33DB" w:rsidTr="00822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9" w:type="dxa"/>
        </w:trPr>
        <w:tc>
          <w:tcPr>
            <w:tcW w:w="6415" w:type="dxa"/>
            <w:gridSpan w:val="4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1" w:type="dxa"/>
            <w:gridSpan w:val="2"/>
            <w:hideMark/>
          </w:tcPr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2C4E" w:rsidRPr="007B33DB" w:rsidRDefault="00B32C4E" w:rsidP="007B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B32C4E" w:rsidRPr="007B33DB" w:rsidRDefault="00B32C4E" w:rsidP="007B3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B32C4E" w:rsidRPr="007B33DB" w:rsidSect="00F23C3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B1" w:rsidRDefault="008958B1">
      <w:pPr>
        <w:spacing w:after="0" w:line="240" w:lineRule="auto"/>
      </w:pPr>
      <w:r>
        <w:separator/>
      </w:r>
    </w:p>
  </w:endnote>
  <w:endnote w:type="continuationSeparator" w:id="0">
    <w:p w:rsidR="008958B1" w:rsidRDefault="008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B1" w:rsidRDefault="008958B1">
      <w:pPr>
        <w:spacing w:after="0" w:line="240" w:lineRule="auto"/>
      </w:pPr>
      <w:r>
        <w:separator/>
      </w:r>
    </w:p>
  </w:footnote>
  <w:footnote w:type="continuationSeparator" w:id="0">
    <w:p w:rsidR="008958B1" w:rsidRDefault="008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CBB3C48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6DCA"/>
    <w:rsid w:val="00077C8D"/>
    <w:rsid w:val="00337A51"/>
    <w:rsid w:val="005722EF"/>
    <w:rsid w:val="00576DCA"/>
    <w:rsid w:val="005E19E3"/>
    <w:rsid w:val="0061776C"/>
    <w:rsid w:val="006D42D2"/>
    <w:rsid w:val="007B33DB"/>
    <w:rsid w:val="00822FE2"/>
    <w:rsid w:val="008958B1"/>
    <w:rsid w:val="00906243"/>
    <w:rsid w:val="009B2F01"/>
    <w:rsid w:val="00A04780"/>
    <w:rsid w:val="00B32C4E"/>
    <w:rsid w:val="00C03826"/>
    <w:rsid w:val="00CD371B"/>
    <w:rsid w:val="00D07E4F"/>
    <w:rsid w:val="00E15A43"/>
    <w:rsid w:val="00F2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76C"/>
  </w:style>
  <w:style w:type="table" w:styleId="a5">
    <w:name w:val="Table Grid"/>
    <w:basedOn w:val="a1"/>
    <w:uiPriority w:val="59"/>
    <w:rsid w:val="00077C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37A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32C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32C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32C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32C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C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826"/>
  </w:style>
  <w:style w:type="paragraph" w:styleId="a8">
    <w:name w:val="Balloon Text"/>
    <w:basedOn w:val="a"/>
    <w:link w:val="a9"/>
    <w:uiPriority w:val="99"/>
    <w:semiHidden/>
    <w:unhideWhenUsed/>
    <w:rsid w:val="00C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evgeniya</cp:lastModifiedBy>
  <cp:revision>12</cp:revision>
  <dcterms:created xsi:type="dcterms:W3CDTF">2018-11-12T12:40:00Z</dcterms:created>
  <dcterms:modified xsi:type="dcterms:W3CDTF">2018-11-13T08:36:00Z</dcterms:modified>
</cp:coreProperties>
</file>