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28" w:rsidRDefault="00C64728" w:rsidP="00C64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64728" w:rsidRDefault="00C64728" w:rsidP="00C64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C64728" w:rsidRDefault="00C64728" w:rsidP="00C64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64728" w:rsidRDefault="00C64728" w:rsidP="00C64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овокубанск, ул.Первомайская, 151)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 (352240, Россия, Краснодарский край, 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овокубанск, ул.Первомайская, 161-163, </w:t>
            </w:r>
            <w:hyperlink r:id="rId6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C64728" w:rsidRPr="00E70492" w:rsidRDefault="00C64728" w:rsidP="006A5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6A5BBD">
              <w:rPr>
                <w:rFonts w:ascii="Times New Roman" w:hAnsi="Times New Roman" w:cs="Times New Roman"/>
                <w:sz w:val="24"/>
                <w:szCs w:val="24"/>
              </w:rPr>
              <w:t>04.03.2024 № 254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C64728" w:rsidRPr="003D3B3E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C64728" w:rsidRPr="0063426B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="00AD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C64728" w:rsidRPr="003D3B3E" w:rsidTr="00866902">
        <w:trPr>
          <w:trHeight w:val="35"/>
        </w:trPr>
        <w:tc>
          <w:tcPr>
            <w:tcW w:w="659" w:type="dxa"/>
            <w:vMerge w:val="restart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Прикубанское сельское поселение, хутор Горькая Балка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C64728" w:rsidRPr="003D3B3E" w:rsidRDefault="006A5BBD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2 497</w:t>
            </w:r>
            <w:r w:rsidR="00C64728" w:rsidRPr="00E25541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C64728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64728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23:21:000000:1491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C64728" w:rsidRPr="003D3B3E" w:rsidTr="00866902">
        <w:trPr>
          <w:trHeight w:val="30"/>
        </w:trPr>
        <w:tc>
          <w:tcPr>
            <w:tcW w:w="659" w:type="dxa"/>
            <w:vMerge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C64728" w:rsidRPr="003D3B3E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использованию земельного участка: 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вводоохраной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зоне, где в соответствии со статьей 65 Водного кодекса Российской Федерации, запрещается: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1) использование сточных вод в целях регулирования плодородия почв;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3) осуществление авиационных мер по борьбе с вредными организмами;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судострои-тельных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6) размещение специализированных хранилищ пестицидов и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пестицидов и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7) сброс сточных, в том числе дренажных, вод;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      </w:r>
            <w:proofErr w:type="gram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1992 года № 2395-1 «О недрах»). В границах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</w:t>
            </w:r>
            <w:r w:rsidRPr="0096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:rsidR="00C64728" w:rsidRPr="00E70492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127 222 (сто двадцать семь тысяч двести двадцать два) рубля 15 копеек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C64728" w:rsidRPr="00E70492" w:rsidRDefault="004E06FE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FE">
              <w:rPr>
                <w:rFonts w:ascii="Times New Roman" w:hAnsi="Times New Roman" w:cs="Times New Roman"/>
                <w:sz w:val="24"/>
                <w:szCs w:val="24"/>
              </w:rPr>
              <w:t>3 816 (три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восемьсот шест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адцать) рублей</w:t>
            </w:r>
            <w:r w:rsidR="001C3C40">
              <w:rPr>
                <w:rFonts w:ascii="Times New Roman" w:hAnsi="Times New Roman" w:cs="Times New Roman"/>
                <w:sz w:val="24"/>
                <w:szCs w:val="24"/>
              </w:rPr>
              <w:t xml:space="preserve"> 66 копеек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127 222 (сто двадцать семь тысяч двести двадцать два) рубля 15 копеек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требуется выполнение ТУ (инсталляционный платеж). Технология PON, эксплуатирующая организация ПАО «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техническая возможность подключения к сетям газораспределения определяется газораспределительной организацией в соответствии с п. 30 Правил. Согласно информац</w:t>
            </w: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 техническая возможность транспортировки дополнительных объемов газа от ГРС г. Новокубанска, являющейся источником газоснабжения объекта, на сегодняшний день отсутствует.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имеется.</w:t>
            </w:r>
          </w:p>
          <w:p w:rsidR="00C64728" w:rsidRPr="0096370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возможной точке (точках) присоединения: точка присоединения к централизованной системе холодного водоснабжения - от ОСВ муниципального образования </w:t>
            </w: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. Армавир, 2-й подъем. Срок, в течение которого правообладатель земельного участка может обратиться в организацию, осуществляющую холодное водоснабжение и водоотведение, в целях заключения договора о подключении (технологическом присоединении), предусматривающего предоставление ему нагрузки в пределах максимальной </w:t>
            </w:r>
            <w:r w:rsidRPr="0096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нагрузки в возможных точках подключения (технологического присоединения) к сетям инженерно-технического обеспечения - </w:t>
            </w:r>
            <w:proofErr w:type="gram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месяца, эксплуатирующая организация, государственное унитарное предприятие Краснодарского края Северо-Восточная водная управляющая компания «</w:t>
            </w:r>
            <w:proofErr w:type="spellStart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96370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</w:p>
          <w:p w:rsidR="00C64728" w:rsidRPr="00E70492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9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C64728" w:rsidRPr="00357EA3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C64728" w:rsidRPr="00357EA3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осуществляется оператором электронной площадки РТС-тендер по адресу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  <w:proofErr w:type="spellEnd"/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форме. Денежные средства в размере задатка на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 поступление задатка на дату рассмотрения заявок на участие в аукционе;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</w:t>
            </w:r>
            <w:proofErr w:type="spellStart"/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 кодексом Российской Федерации.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C64728" w:rsidRPr="00E70492" w:rsidTr="00866902">
        <w:tc>
          <w:tcPr>
            <w:tcW w:w="659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C64728" w:rsidRPr="00E70492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C64728" w:rsidRPr="00E70492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4728" w:rsidRPr="003A2859" w:rsidTr="00866902">
        <w:tc>
          <w:tcPr>
            <w:tcW w:w="659" w:type="dxa"/>
          </w:tcPr>
          <w:p w:rsidR="00C64728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C64728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C64728" w:rsidRPr="003A2859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64728" w:rsidRPr="00DA6D00" w:rsidTr="00866902">
        <w:tc>
          <w:tcPr>
            <w:tcW w:w="659" w:type="dxa"/>
          </w:tcPr>
          <w:p w:rsidR="00C64728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C64728" w:rsidRPr="00DA6D00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728" w:rsidRPr="00DA6D00" w:rsidRDefault="00C64728" w:rsidP="008669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C64728" w:rsidTr="00866902">
        <w:tc>
          <w:tcPr>
            <w:tcW w:w="659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C64728" w:rsidRPr="003D3B3E" w:rsidRDefault="00C64728" w:rsidP="00866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C64728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C64728" w:rsidRDefault="00C64728" w:rsidP="008669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C64728" w:rsidRDefault="00C64728" w:rsidP="00866902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C64728" w:rsidRDefault="00C64728" w:rsidP="00866902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C64728" w:rsidRPr="004C7993" w:rsidRDefault="00C64728" w:rsidP="00C64728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lastRenderedPageBreak/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A67E3E" w:rsidRDefault="00284037" w:rsidP="00A67E3E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____________года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proofErr w:type="spellStart"/>
      <w:r w:rsidR="00A67E3E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апротокола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- </w:t>
      </w:r>
      <w:proofErr w:type="spellStart"/>
      <w:r w:rsidRPr="00284037">
        <w:rPr>
          <w:sz w:val="24"/>
          <w:szCs w:val="24"/>
        </w:rPr>
        <w:t>протокол_______________</w:t>
      </w:r>
      <w:proofErr w:type="spellEnd"/>
      <w:r w:rsidRPr="00284037">
        <w:rPr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C3C40"/>
    <w:rsid w:val="001E6A82"/>
    <w:rsid w:val="001E6BE0"/>
    <w:rsid w:val="0020217A"/>
    <w:rsid w:val="00221A76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4E06FE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6A5BBD"/>
    <w:rsid w:val="00717148"/>
    <w:rsid w:val="007219D6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67E3E"/>
    <w:rsid w:val="00A83609"/>
    <w:rsid w:val="00AC3E70"/>
    <w:rsid w:val="00AD69E5"/>
    <w:rsid w:val="00AF5BEC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64728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0BD2-1B05-4CD0-839E-8F450896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56</cp:revision>
  <dcterms:created xsi:type="dcterms:W3CDTF">2022-11-20T16:49:00Z</dcterms:created>
  <dcterms:modified xsi:type="dcterms:W3CDTF">2024-03-06T11:44:00Z</dcterms:modified>
</cp:coreProperties>
</file>